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FD7" w:rsidRDefault="005B6FD7">
      <w:pPr>
        <w:snapToGrid w:val="0"/>
        <w:spacing w:line="540" w:lineRule="exact"/>
        <w:jc w:val="center"/>
        <w:rPr>
          <w:rFonts w:ascii="Arial Narrow" w:eastAsia="仿宋_GB2312" w:hAnsi="Arial Narrow" w:cs="宋体"/>
          <w:sz w:val="30"/>
          <w:szCs w:val="30"/>
        </w:rPr>
      </w:pPr>
    </w:p>
    <w:p w:rsidR="005B6FD7" w:rsidRDefault="008B291F">
      <w:pPr>
        <w:snapToGrid w:val="0"/>
        <w:spacing w:line="540" w:lineRule="exact"/>
        <w:jc w:val="center"/>
        <w:rPr>
          <w:rFonts w:ascii="黑体" w:eastAsia="黑体" w:hAnsi="黑体" w:cs="黑体"/>
          <w:b/>
          <w:sz w:val="36"/>
          <w:szCs w:val="36"/>
        </w:rPr>
      </w:pPr>
      <w:r>
        <w:rPr>
          <w:rFonts w:ascii="黑体" w:eastAsia="黑体" w:hAnsi="黑体" w:cs="黑体" w:hint="eastAsia"/>
          <w:b/>
          <w:sz w:val="36"/>
          <w:szCs w:val="36"/>
        </w:rPr>
        <w:t>2018年全国职业院校技能大赛</w:t>
      </w:r>
    </w:p>
    <w:p w:rsidR="005B6FD7" w:rsidRDefault="008B291F">
      <w:pPr>
        <w:snapToGrid w:val="0"/>
        <w:spacing w:line="540" w:lineRule="exact"/>
        <w:jc w:val="center"/>
        <w:rPr>
          <w:rFonts w:ascii="黑体" w:eastAsia="黑体" w:hAnsi="黑体" w:cs="黑体"/>
          <w:b/>
          <w:sz w:val="36"/>
          <w:szCs w:val="36"/>
        </w:rPr>
      </w:pPr>
      <w:r>
        <w:rPr>
          <w:rFonts w:ascii="黑体" w:eastAsia="黑体" w:hAnsi="黑体" w:cs="黑体" w:hint="eastAsia"/>
          <w:b/>
          <w:sz w:val="36"/>
          <w:szCs w:val="36"/>
        </w:rPr>
        <w:t>赛项申报书</w:t>
      </w:r>
    </w:p>
    <w:p w:rsidR="005B6FD7" w:rsidRDefault="005B6FD7">
      <w:pPr>
        <w:snapToGrid w:val="0"/>
        <w:spacing w:line="560" w:lineRule="exact"/>
        <w:rPr>
          <w:rFonts w:ascii="黑体" w:eastAsia="黑体" w:hAnsi="黑体" w:cs="黑体"/>
          <w:b/>
          <w:sz w:val="36"/>
          <w:szCs w:val="36"/>
        </w:rPr>
      </w:pP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赛项名称：沙盘模拟企业经营</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赛项类别：常规赛项■     行业特色赛项□</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赛项组别：中职组■       高职组□</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涉及的专业大类/类：财经商贸大类</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方案设计专家组组长：</w:t>
      </w:r>
      <w:r w:rsidR="00EE3B57">
        <w:rPr>
          <w:rFonts w:ascii="仿宋_GB2312" w:eastAsia="仿宋_GB2312" w:hAnsi="仿宋_GB2312" w:cs="仿宋_GB2312"/>
          <w:sz w:val="30"/>
          <w:szCs w:val="30"/>
        </w:rPr>
        <w:t xml:space="preserve"> </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手机号码：</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方案申报单位（盖章）：中国职业技术教育学</w:t>
      </w:r>
      <w:proofErr w:type="gramStart"/>
      <w:r>
        <w:rPr>
          <w:rFonts w:ascii="仿宋_GB2312" w:eastAsia="仿宋_GB2312" w:hAnsi="仿宋_GB2312" w:cs="仿宋_GB2312" w:hint="eastAsia"/>
          <w:sz w:val="30"/>
          <w:szCs w:val="30"/>
        </w:rPr>
        <w:t>会商科</w:t>
      </w:r>
      <w:proofErr w:type="gramEnd"/>
      <w:r>
        <w:rPr>
          <w:rFonts w:ascii="仿宋_GB2312" w:eastAsia="仿宋_GB2312" w:hAnsi="仿宋_GB2312" w:cs="仿宋_GB2312" w:hint="eastAsia"/>
          <w:sz w:val="30"/>
          <w:szCs w:val="30"/>
        </w:rPr>
        <w:t>专业委员会</w:t>
      </w:r>
    </w:p>
    <w:p w:rsidR="00EE3B57" w:rsidRDefault="008B291F">
      <w:pPr>
        <w:snapToGrid w:val="0"/>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方案申报负责人：</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方案申报单位联络人：</w:t>
      </w:r>
      <w:r w:rsidR="00EE3B57">
        <w:rPr>
          <w:rFonts w:ascii="仿宋_GB2312" w:eastAsia="仿宋_GB2312" w:hAnsi="仿宋_GB2312" w:cs="仿宋_GB2312"/>
          <w:sz w:val="30"/>
          <w:szCs w:val="30"/>
        </w:rPr>
        <w:t xml:space="preserve"> </w:t>
      </w:r>
    </w:p>
    <w:p w:rsidR="00EE3B57" w:rsidRDefault="008B291F">
      <w:pPr>
        <w:snapToGrid w:val="0"/>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联络人手机号码：</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电子邮箱：</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通讯地址：</w:t>
      </w:r>
      <w:r w:rsidR="00EE3B57">
        <w:rPr>
          <w:rFonts w:ascii="仿宋_GB2312" w:eastAsia="仿宋_GB2312" w:hAnsi="仿宋_GB2312" w:cs="仿宋_GB2312"/>
          <w:sz w:val="30"/>
          <w:szCs w:val="30"/>
        </w:rPr>
        <w:t xml:space="preserve"> </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邮政编码：</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申报日期：2017年8月30日</w:t>
      </w:r>
    </w:p>
    <w:p w:rsidR="005B6FD7" w:rsidRDefault="005B6FD7">
      <w:pPr>
        <w:snapToGrid w:val="0"/>
        <w:spacing w:line="560" w:lineRule="exact"/>
        <w:rPr>
          <w:rFonts w:ascii="仿宋" w:eastAsia="仿宋" w:hAnsi="仿宋" w:cs="仿宋"/>
          <w:sz w:val="30"/>
          <w:szCs w:val="30"/>
        </w:rPr>
      </w:pPr>
    </w:p>
    <w:p w:rsidR="005B6FD7" w:rsidRDefault="005B6FD7">
      <w:pPr>
        <w:widowControl/>
        <w:jc w:val="left"/>
        <w:rPr>
          <w:rFonts w:ascii="仿宋" w:eastAsia="仿宋" w:hAnsi="仿宋" w:cs="仿宋"/>
          <w:sz w:val="30"/>
          <w:szCs w:val="30"/>
        </w:rPr>
        <w:sectPr w:rsidR="005B6FD7">
          <w:pgSz w:w="11906" w:h="16838"/>
          <w:pgMar w:top="1440" w:right="1800" w:bottom="1440" w:left="1800" w:header="851" w:footer="992" w:gutter="0"/>
          <w:cols w:space="425"/>
          <w:docGrid w:type="lines" w:linePitch="312"/>
        </w:sectPr>
      </w:pPr>
    </w:p>
    <w:p w:rsidR="005B6FD7" w:rsidRDefault="008B291F">
      <w:pPr>
        <w:snapToGrid w:val="0"/>
        <w:spacing w:line="560" w:lineRule="exact"/>
        <w:jc w:val="center"/>
        <w:rPr>
          <w:rFonts w:ascii="黑体" w:eastAsia="黑体" w:hAnsi="黑体" w:cs="黑体"/>
          <w:b/>
          <w:sz w:val="36"/>
          <w:szCs w:val="36"/>
        </w:rPr>
      </w:pPr>
      <w:r>
        <w:rPr>
          <w:rFonts w:ascii="黑体" w:eastAsia="黑体" w:hAnsi="黑体" w:cs="黑体" w:hint="eastAsia"/>
          <w:b/>
          <w:sz w:val="36"/>
          <w:szCs w:val="36"/>
        </w:rPr>
        <w:lastRenderedPageBreak/>
        <w:t>2018年全国职业院校技能大赛</w:t>
      </w:r>
    </w:p>
    <w:p w:rsidR="005B6FD7" w:rsidRDefault="008B291F">
      <w:pPr>
        <w:snapToGrid w:val="0"/>
        <w:spacing w:line="560" w:lineRule="exact"/>
        <w:jc w:val="center"/>
        <w:rPr>
          <w:rFonts w:ascii="黑体" w:eastAsia="黑体" w:hAnsi="黑体" w:cs="黑体"/>
          <w:b/>
          <w:sz w:val="36"/>
          <w:szCs w:val="36"/>
        </w:rPr>
      </w:pPr>
      <w:r>
        <w:rPr>
          <w:rFonts w:ascii="黑体" w:eastAsia="黑体" w:hAnsi="黑体" w:cs="黑体" w:hint="eastAsia"/>
          <w:b/>
          <w:sz w:val="36"/>
          <w:szCs w:val="36"/>
        </w:rPr>
        <w:t>赛项申报方案</w:t>
      </w:r>
    </w:p>
    <w:p w:rsidR="005B6FD7" w:rsidRDefault="008B291F">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一、赛项名称</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（一）赛项名称</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沙盘模拟企业经营</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noProof/>
          <w:sz w:val="30"/>
          <w:szCs w:val="30"/>
        </w:rPr>
        <w:drawing>
          <wp:anchor distT="0" distB="0" distL="114300" distR="114300" simplePos="0" relativeHeight="251657216" behindDoc="1" locked="0" layoutInCell="1" allowOverlap="1">
            <wp:simplePos x="0" y="0"/>
            <wp:positionH relativeFrom="column">
              <wp:posOffset>222250</wp:posOffset>
            </wp:positionH>
            <wp:positionV relativeFrom="paragraph">
              <wp:posOffset>431800</wp:posOffset>
            </wp:positionV>
            <wp:extent cx="5274310" cy="3515995"/>
            <wp:effectExtent l="0" t="0" r="0" b="0"/>
            <wp:wrapTight wrapText="bothSides">
              <wp:wrapPolygon edited="0">
                <wp:start x="0" y="0"/>
                <wp:lineTo x="0" y="21534"/>
                <wp:lineTo x="21532" y="21534"/>
                <wp:lineTo x="21532"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74310" cy="3515995"/>
                    </a:xfrm>
                    <a:prstGeom prst="rect">
                      <a:avLst/>
                    </a:prstGeom>
                  </pic:spPr>
                </pic:pic>
              </a:graphicData>
            </a:graphic>
          </wp:anchor>
        </w:drawing>
      </w:r>
      <w:r>
        <w:rPr>
          <w:rFonts w:ascii="仿宋_GB2312" w:eastAsia="仿宋_GB2312" w:hAnsi="仿宋_GB2312" w:cs="仿宋_GB2312" w:hint="eastAsia"/>
          <w:sz w:val="30"/>
          <w:szCs w:val="30"/>
        </w:rPr>
        <w:t>（二）压题彩照</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（三）赛项归属产业类型</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第三产业</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（四）赛项归属专业大类/类</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财经商贸大类（120100会计；121000市场营销；120500商品经营；120900连锁经营与管理；121900物流服务与管理）</w:t>
      </w:r>
    </w:p>
    <w:p w:rsidR="005B6FD7" w:rsidRDefault="005B6FD7">
      <w:pPr>
        <w:snapToGrid w:val="0"/>
        <w:spacing w:line="560" w:lineRule="exact"/>
        <w:ind w:firstLineChars="200" w:firstLine="600"/>
        <w:rPr>
          <w:rFonts w:ascii="仿宋_GB2312" w:eastAsia="仿宋_GB2312" w:hAnsi="仿宋_GB2312" w:cs="仿宋_GB2312"/>
          <w:sz w:val="30"/>
          <w:szCs w:val="30"/>
        </w:rPr>
      </w:pPr>
    </w:p>
    <w:p w:rsidR="005B6FD7" w:rsidRDefault="005B6FD7">
      <w:pPr>
        <w:snapToGrid w:val="0"/>
        <w:spacing w:line="560" w:lineRule="exact"/>
        <w:ind w:firstLineChars="200" w:firstLine="600"/>
        <w:rPr>
          <w:rFonts w:ascii="仿宋_GB2312" w:eastAsia="仿宋_GB2312" w:hAnsi="仿宋_GB2312" w:cs="仿宋_GB2312"/>
          <w:sz w:val="30"/>
          <w:szCs w:val="30"/>
        </w:rPr>
      </w:pPr>
    </w:p>
    <w:p w:rsidR="005B6FD7" w:rsidRDefault="005B6FD7">
      <w:pPr>
        <w:snapToGrid w:val="0"/>
        <w:spacing w:line="560" w:lineRule="exact"/>
        <w:ind w:firstLineChars="200" w:firstLine="600"/>
        <w:rPr>
          <w:rFonts w:ascii="仿宋_GB2312" w:eastAsia="仿宋_GB2312" w:hAnsi="仿宋_GB2312" w:cs="仿宋_GB2312"/>
          <w:sz w:val="30"/>
          <w:szCs w:val="30"/>
        </w:rPr>
      </w:pPr>
    </w:p>
    <w:p w:rsidR="005B6FD7" w:rsidRDefault="008B291F">
      <w:pPr>
        <w:adjustRightInd w:val="0"/>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二、赛项申报专家组</w:t>
      </w:r>
    </w:p>
    <w:p w:rsidR="005B6FD7" w:rsidRDefault="008B291F">
      <w:pPr>
        <w:adjustRightInd w:val="0"/>
        <w:snapToGrid w:val="0"/>
        <w:spacing w:line="560" w:lineRule="exact"/>
        <w:rPr>
          <w:rFonts w:ascii="黑体" w:eastAsia="黑体" w:hAnsi="黑体" w:cs="黑体"/>
          <w:b/>
          <w:sz w:val="30"/>
          <w:szCs w:val="30"/>
        </w:rPr>
      </w:pPr>
      <w:bookmarkStart w:id="0" w:name="_GoBack"/>
      <w:bookmarkEnd w:id="0"/>
      <w:r>
        <w:rPr>
          <w:rFonts w:ascii="黑体" w:eastAsia="黑体" w:hAnsi="黑体" w:cs="黑体" w:hint="eastAsia"/>
          <w:b/>
          <w:sz w:val="30"/>
          <w:szCs w:val="30"/>
        </w:rPr>
        <w:t xml:space="preserve">    三、赛项目的</w:t>
      </w:r>
    </w:p>
    <w:p w:rsidR="005B6FD7" w:rsidRDefault="008B291F">
      <w:pPr>
        <w:adjustRightInd w:val="0"/>
        <w:snapToGrid w:val="0"/>
        <w:spacing w:line="560" w:lineRule="exact"/>
        <w:ind w:firstLineChars="200" w:firstLine="600"/>
        <w:rPr>
          <w:rFonts w:ascii="仿宋_GB2312" w:eastAsia="仿宋_GB2312" w:hAnsi="仿宋_GB2312" w:cs="仿宋_GB2312"/>
          <w:b/>
          <w:sz w:val="30"/>
          <w:szCs w:val="30"/>
        </w:rPr>
      </w:pPr>
      <w:r>
        <w:rPr>
          <w:rFonts w:ascii="仿宋_GB2312" w:eastAsia="仿宋_GB2312" w:hAnsi="仿宋_GB2312" w:cs="仿宋_GB2312" w:hint="eastAsia"/>
          <w:kern w:val="0"/>
          <w:sz w:val="30"/>
          <w:szCs w:val="30"/>
        </w:rPr>
        <w:t>通过竞赛，激发和调动行业企业关注和参与中等职业学校教学改革的主动性和积极性，全面提升中等职业学校财经商贸类专业人才培养质量；为中职院校师生提供交流借鉴的平台，检验财经商贸类所含专业的教学改革成果，引领和促进财经商贸类专业教学改革；全面考察参赛选手资金预算分析、妥善控制成本、编制财务报表、市场趋势预测、市场开发决策、营销策略策划、产品研发决策、生产采购流程决策、库存管理、产销结合匹配市场需求等财经商贸类专业的核心技能；全方位展示参赛选手在组织企业经营管理过程中各司其职、团队协作、创新思维、岗位通用技能等方面的职业素养。</w:t>
      </w:r>
    </w:p>
    <w:p w:rsidR="005B6FD7" w:rsidRDefault="008B291F">
      <w:pPr>
        <w:adjustRightInd w:val="0"/>
        <w:snapToGrid w:val="0"/>
        <w:spacing w:line="560" w:lineRule="exact"/>
        <w:rPr>
          <w:rFonts w:ascii="黑体" w:eastAsia="黑体" w:hAnsi="黑体" w:cs="黑体"/>
          <w:b/>
          <w:sz w:val="30"/>
          <w:szCs w:val="30"/>
        </w:rPr>
      </w:pPr>
      <w:r>
        <w:rPr>
          <w:rFonts w:ascii="黑体" w:eastAsia="黑体" w:hAnsi="黑体" w:cs="黑体" w:hint="eastAsia"/>
          <w:b/>
          <w:sz w:val="30"/>
          <w:szCs w:val="30"/>
        </w:rPr>
        <w:t xml:space="preserve">     四、赛项设计原则</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（一）公开、公平、公正。</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沙盘模拟企业经营赛项采用“物理沙盘推演+电子沙盘操作”方式,所有参赛队在同一仿真市场中竞争，保证参赛队竞争环境公平。</w:t>
      </w:r>
      <w:r>
        <w:rPr>
          <w:rFonts w:ascii="仿宋_GB2312" w:eastAsia="仿宋_GB2312" w:hAnsi="仿宋_GB2312" w:cs="仿宋_GB2312" w:hint="eastAsia"/>
          <w:color w:val="000000" w:themeColor="text1"/>
          <w:sz w:val="30"/>
          <w:szCs w:val="30"/>
        </w:rPr>
        <w:t>比赛进行现场抽题，并通过网络平台，将比赛规则、市场预测、详细订单公布在局域网内，供各参赛队下载查阅，</w:t>
      </w:r>
      <w:r>
        <w:rPr>
          <w:rFonts w:ascii="仿宋_GB2312" w:eastAsia="仿宋_GB2312" w:hAnsi="仿宋_GB2312" w:cs="仿宋_GB2312" w:hint="eastAsia"/>
          <w:sz w:val="30"/>
          <w:szCs w:val="30"/>
        </w:rPr>
        <w:t>企业经营决策过程和经营结果采用信息化竞赛系统进行过程监控及结果计算，</w:t>
      </w:r>
      <w:r>
        <w:rPr>
          <w:rFonts w:ascii="仿宋_GB2312" w:eastAsia="仿宋_GB2312" w:hAnsi="仿宋_GB2312" w:cs="仿宋_GB2312" w:hint="eastAsia"/>
          <w:color w:val="000000" w:themeColor="text1"/>
          <w:sz w:val="30"/>
          <w:szCs w:val="30"/>
        </w:rPr>
        <w:t>每年</w:t>
      </w:r>
      <w:proofErr w:type="gramStart"/>
      <w:r>
        <w:rPr>
          <w:rFonts w:ascii="仿宋_GB2312" w:eastAsia="仿宋_GB2312" w:hAnsi="仿宋_GB2312" w:cs="仿宋_GB2312" w:hint="eastAsia"/>
          <w:color w:val="000000" w:themeColor="text1"/>
          <w:sz w:val="30"/>
          <w:szCs w:val="30"/>
        </w:rPr>
        <w:t>年</w:t>
      </w:r>
      <w:proofErr w:type="gramEnd"/>
      <w:r>
        <w:rPr>
          <w:rFonts w:ascii="仿宋_GB2312" w:eastAsia="仿宋_GB2312" w:hAnsi="仿宋_GB2312" w:cs="仿宋_GB2312" w:hint="eastAsia"/>
          <w:color w:val="000000" w:themeColor="text1"/>
          <w:sz w:val="30"/>
          <w:szCs w:val="30"/>
        </w:rPr>
        <w:t>末将通过网络平台公布资产负债表、利润表、费用表，年初广告投放后将通过网络公布广告金额。</w:t>
      </w:r>
      <w:r>
        <w:rPr>
          <w:rFonts w:ascii="仿宋_GB2312" w:eastAsia="仿宋_GB2312" w:hAnsi="仿宋_GB2312" w:cs="仿宋_GB2312" w:hint="eastAsia"/>
          <w:sz w:val="30"/>
          <w:szCs w:val="30"/>
        </w:rPr>
        <w:t>全程无人工干预，确保比赛过程、结果客观公正。大赛过程中，提供观摩区域，并且参赛人员均可通过直播的方式获得各参赛队运营情况报表，</w:t>
      </w:r>
      <w:r>
        <w:rPr>
          <w:rFonts w:ascii="仿宋_GB2312" w:eastAsia="仿宋_GB2312" w:hAnsi="仿宋_GB2312" w:cs="仿宋_GB2312" w:hint="eastAsia"/>
          <w:sz w:val="30"/>
          <w:szCs w:val="30"/>
        </w:rPr>
        <w:lastRenderedPageBreak/>
        <w:t>保证比赛公开进行。</w:t>
      </w:r>
    </w:p>
    <w:p w:rsidR="005B6FD7" w:rsidRDefault="008B291F">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（二）常规赛项关联专业人才需求量大或职业院校开设专业点多，服务国家重点战略。</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无论中小企业经营管理水平的提升，还是大型企业基层岗位人员能力的定位，都迫切急需企业经营管理人才。赛项依据实际企业的管理岗位，设置总经理、财务总监、运营总监、营销总监等职务，在仿真的市场环境中模拟企业经营管理全过程，与实际企业运营无缝对接；所有经营团队在同一个市场中竞争，依托团队协作和信息化手段，共同完成复杂市场环境下的企业经营管理，参与度极高，能够全方位检阅中等职业院校财经商贸类专业学生综合素质的高低。开设财经商贸类专业的中职院校多，借助沙盘模拟企业经营大赛的开展，将有助于财经商贸职业教育集中培养一大批“知岗位、懂流程、熟工具、擅沟通”的企业经营管理人才，能够认知企业、感知社会、胜任岗位、提升素质。</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（三）竞赛内容对应相关职业岗位或岗位群、体现专业核心能力与核心知识、涵盖丰富的专业知识与专业技能点。</w:t>
      </w:r>
    </w:p>
    <w:p w:rsidR="005B6FD7" w:rsidRDefault="008B291F">
      <w:pPr>
        <w:snapToGrid w:val="0"/>
        <w:spacing w:line="560" w:lineRule="exact"/>
        <w:ind w:firstLineChars="200" w:firstLine="6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赛项模拟岗位对应市场营销、会计、商品经营、连锁经营与管理、物流服务与管理等大多数财经商贸类专业，对应相关职业岗位及岗位群，如会计类岗位、物流管理类岗位、市场营销类岗位等。竞赛内容涵盖企业战略管理、采购管理、生产管理、市场管理、营销管理、物流管理、财务管理等专业核心知识与技能, 参赛选手在模拟实战中将课本中所学习的知识与技能综合运用于实践当中，全方位检验与展示参赛选手的专业职业素养。</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（四）竞赛平台成熟。</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赛事已连续十三年成功举办，每年参赛高职院校近千所，中职学校数千所，2015年正式进入国赛，赛项选用的竞赛平台在目前国内职业院校财经商贸类、工商管理类学科“沙盘模拟企业经营”竞赛中有较大规模的应用，经过多年检验，赛项平台稳定可靠、智能易用、技术成熟、具备广泛的认可度。赛事所用竞赛平台三年国赛零故障。</w:t>
      </w:r>
    </w:p>
    <w:p w:rsidR="005B6FD7" w:rsidRDefault="008B291F">
      <w:pPr>
        <w:snapToGrid w:val="0"/>
        <w:spacing w:line="560" w:lineRule="exact"/>
        <w:ind w:firstLineChars="200" w:firstLine="602"/>
        <w:rPr>
          <w:rFonts w:ascii="仿宋" w:eastAsia="仿宋" w:hAnsi="仿宋" w:cs="仿宋"/>
          <w:b/>
          <w:sz w:val="30"/>
          <w:szCs w:val="30"/>
        </w:rPr>
      </w:pPr>
      <w:r>
        <w:rPr>
          <w:rFonts w:ascii="黑体" w:eastAsia="黑体" w:hAnsi="黑体" w:cs="黑体" w:hint="eastAsia"/>
          <w:b/>
          <w:sz w:val="30"/>
          <w:szCs w:val="30"/>
        </w:rPr>
        <w:t>五、赛项方案的特色与创新点</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（一）竞赛内容涵盖财经商贸类专业的核心知识和技能，突出专业核心能力</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在竞赛内容设计上，充分考虑了财经商贸类专业涵盖专业多、业务关联度高、专业知识应用性强的特点，竞赛内容以真实职业岗位任务为基础，并根据赛项的特点进行了提炼与组合，并按照企业经营管理职能和企业内控工作的需要，分设了总经理、财务总监、运营总监、营销总监四个岗位，每个岗位按角色分工负责相关业务，共同完成企业从采购、生产到销售完整的企业经营和管理业务，突出专业知识和技能的应用，检验选手掌握企业经营管理核心知识与技能的水平。</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（二）竞赛过程与真实企业经营管理过程相一致，突出职业教育特点</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本赛项将每个参赛队作为一个经营团队，每个团队分设总经理、财务总监、运营总监、营销总监4个岗位，各团队接手一个制造型企业，在仿真的竞争市场环境中，通过分岗位角色扮演，连续从事5个会计年度的模拟企业经营活动。每家企业在经营前要制定公司发展规划、制定年度经营计划和年度预算、执行年度</w:t>
      </w:r>
      <w:r>
        <w:rPr>
          <w:rFonts w:ascii="仿宋_GB2312" w:eastAsia="仿宋_GB2312" w:hAnsi="仿宋_GB2312" w:cs="仿宋_GB2312" w:hint="eastAsia"/>
          <w:sz w:val="30"/>
          <w:szCs w:val="30"/>
        </w:rPr>
        <w:lastRenderedPageBreak/>
        <w:t>计划进行日常企业经营、年终进行年度结算，竞赛过程与真实企业经营管理过程一致，突出职业教育职业性、实践性的特点。</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（三）竞赛结果评判标准与实际企业价值评估方法对接，实现教学与实际工作的衔接</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本赛项采用系统自动判分的方式，以盈利能力指标作为竞赛结果的考核指标，充分体现企业经营管理者以实现企业价值最大化为目标的评判标准，竞赛结果的评判标准与实际企业价值评估方法相一致，实现教学与实际工作的衔接。</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（四）竞赛资源转化为教学资源，充分发挥大赛对教学的引领作用</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本赛项可直接转化为专业课程，竞赛平台可直接转化为课程教学平台，竞赛赛题可直接转化为教学试题，竞赛方案可转化为课程教学案例，竞赛组织形式可转化为实</w:t>
      </w:r>
      <w:proofErr w:type="gramStart"/>
      <w:r>
        <w:rPr>
          <w:rFonts w:ascii="仿宋_GB2312" w:eastAsia="仿宋_GB2312" w:hAnsi="仿宋_GB2312" w:cs="仿宋_GB2312" w:hint="eastAsia"/>
          <w:sz w:val="30"/>
          <w:szCs w:val="30"/>
        </w:rPr>
        <w:t>训</w:t>
      </w:r>
      <w:proofErr w:type="gramEnd"/>
      <w:r>
        <w:rPr>
          <w:rFonts w:ascii="仿宋_GB2312" w:eastAsia="仿宋_GB2312" w:hAnsi="仿宋_GB2312" w:cs="仿宋_GB2312" w:hint="eastAsia"/>
          <w:sz w:val="30"/>
          <w:szCs w:val="30"/>
        </w:rPr>
        <w:t>组织方式，实现竞赛与教学的结合，充分发挥大赛对教学的引领作用。</w:t>
      </w:r>
    </w:p>
    <w:p w:rsidR="005B6FD7" w:rsidRDefault="008B291F">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六、竞赛内容简介</w:t>
      </w:r>
    </w:p>
    <w:p w:rsidR="005B6FD7" w:rsidRDefault="008B291F">
      <w:pPr>
        <w:snapToGrid w:val="0"/>
        <w:spacing w:line="560" w:lineRule="exact"/>
        <w:ind w:firstLineChars="200" w:firstLine="600"/>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沙盘模拟企业经营赛项将每个参赛队作为一个经营团队，每个团队分设总经理、财务总监、运营总监、营销总监4个岗位，各团队接手一个制造型企业，在仿真的竞争市场环境中，通过分岗位角色扮演，连续从事5个会计年度的模拟企业经营活动。</w:t>
      </w:r>
    </w:p>
    <w:p w:rsidR="005B6FD7" w:rsidRDefault="008B291F">
      <w:pPr>
        <w:snapToGrid w:val="0"/>
        <w:spacing w:line="560" w:lineRule="exact"/>
        <w:ind w:firstLineChars="200" w:firstLine="600"/>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竞赛内容是围绕着考察参赛选手资金预算分析、掌握资金来源及用途、妥善控制成本、编制财务报表、市场趋势预测、市场开发决策、营销策略策划、产品研发决策、生产采购流程决策、库存管理、产销结合匹配市场需求、新产品开发等财经商贸类各专业的核心技能来设置的。</w:t>
      </w:r>
    </w:p>
    <w:p w:rsidR="005B6FD7" w:rsidRDefault="008B291F">
      <w:pPr>
        <w:snapToGrid w:val="0"/>
        <w:spacing w:line="560" w:lineRule="exact"/>
        <w:ind w:firstLineChars="200" w:firstLine="600"/>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lastRenderedPageBreak/>
        <w:t>竞赛中，参赛选手会运用到市场营销学、企业管理、营销策划、统计分析、基础会计、财务会计、EXCEL工具运用、广告学基础、市场调查与分析、消费心理学等十多门财经商贸类专业的核心课程综合知识。</w:t>
      </w:r>
    </w:p>
    <w:p w:rsidR="005B6FD7" w:rsidRDefault="008B291F">
      <w:pPr>
        <w:snapToGrid w:val="0"/>
        <w:spacing w:line="560" w:lineRule="exact"/>
        <w:ind w:firstLineChars="200" w:firstLine="600"/>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竞赛中，参赛选手将遇到企业经营中常出现的各种典型问题以及市场中变幻莫测的各种情况，使其感悟复杂市场营销环境下如何发现机遇、分析问题、制定决策、执行决策及解决问题，进而提升参赛选手学会工作、学会思考等方面的职业素养。</w:t>
      </w:r>
    </w:p>
    <w:p w:rsidR="005B6FD7" w:rsidRDefault="008B291F">
      <w:pPr>
        <w:snapToGrid w:val="0"/>
        <w:spacing w:line="560" w:lineRule="exact"/>
        <w:ind w:firstLineChars="200" w:firstLine="600"/>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In Virtual Enterprise Operation Sandbox Competition, each competitive team is regarded as a real management team, and there are four positions including general manager, financial director, operational director, marketing director in each team. In the competition, each team takes over a manufacture enterprise, and they work on the virtual operation through position role-play during five continuous fiscal years in the virtual market environment.</w:t>
      </w:r>
    </w:p>
    <w:p w:rsidR="005B6FD7" w:rsidRDefault="008B291F">
      <w:pPr>
        <w:snapToGrid w:val="0"/>
        <w:spacing w:line="560" w:lineRule="exact"/>
        <w:ind w:firstLineChars="200" w:firstLine="600"/>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 xml:space="preserve">The main contents designed of the competition are based on the core skills of majors related to finance &amp; accounting, administration management. The contents include evaluating capital budget analysis, mastering capital resource and use, controlling cost effectively, making financial statement, making market trend forecast, making market development decisions, marketing strategy plans, R&amp;D decisions, produce and purchase process decisions, </w:t>
      </w:r>
      <w:r>
        <w:rPr>
          <w:rFonts w:ascii="仿宋_GB2312" w:eastAsia="仿宋_GB2312" w:hAnsi="仿宋_GB2312" w:cs="仿宋_GB2312" w:hint="eastAsia"/>
          <w:kern w:val="0"/>
          <w:sz w:val="30"/>
          <w:szCs w:val="30"/>
        </w:rPr>
        <w:lastRenderedPageBreak/>
        <w:t>inventory management, produce and sales integration for the market demand, product development, etc.</w:t>
      </w:r>
    </w:p>
    <w:p w:rsidR="005B6FD7" w:rsidRDefault="008B291F">
      <w:pPr>
        <w:snapToGrid w:val="0"/>
        <w:spacing w:line="560" w:lineRule="exact"/>
        <w:ind w:firstLineChars="200" w:firstLine="600"/>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In the competition, competitors will fully apply the core knowledge, which they learned from the business courses, such as marketing, enterprise management, market plan, statistics analysis, fundamental accounting, financial accounting, excel tools, fundamental advertising, market research and analysis, consumer psychology, etc.</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kern w:val="0"/>
          <w:sz w:val="30"/>
          <w:szCs w:val="30"/>
        </w:rPr>
        <w:t>When the competition goes, participators will meet kinds of typical issues that appear in the real enterprise operation, and kinds of unpredictable situations in the market. Therefore, competitors will know how to recognize opportunities, analyze problems, make decisions, implement decisions, and solve problems in the complex market. As a result, the competition will help competitors improve their professional quality such like working effectively, thinking effectively, etc.</w:t>
      </w:r>
    </w:p>
    <w:p w:rsidR="005B6FD7" w:rsidRDefault="008B291F">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七、竞赛方式</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本赛项为团体赛。以省、自治区、直辖市、新疆生产建设兵团、计划单列市为单位组织报名参赛。以院校为单位组队参赛，不得跨校组队，同一学校相同项目报名参赛队不超过1支。每支参赛队由4名参赛选手、不超过2名指导教师组成。</w:t>
      </w:r>
    </w:p>
    <w:p w:rsidR="005B6FD7" w:rsidRDefault="008B291F">
      <w:pPr>
        <w:adjustRightInd w:val="0"/>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（二）竞赛方式：以企业经营管理沙盘和新创业者沙盘系统</w:t>
      </w:r>
      <w:r>
        <w:rPr>
          <w:rFonts w:ascii="仿宋_GB2312" w:eastAsia="仿宋_GB2312" w:hAnsi="仿宋_GB2312" w:cs="仿宋_GB2312" w:hint="eastAsia"/>
          <w:sz w:val="30"/>
          <w:szCs w:val="30"/>
        </w:rPr>
        <w:lastRenderedPageBreak/>
        <w:t>相结合的方式进行。</w:t>
      </w:r>
    </w:p>
    <w:p w:rsidR="005B6FD7" w:rsidRDefault="008B291F">
      <w:pPr>
        <w:adjustRightInd w:val="0"/>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八、竞赛时间安排与流程</w:t>
      </w:r>
    </w:p>
    <w:tbl>
      <w:tblPr>
        <w:tblW w:w="8376" w:type="dxa"/>
        <w:tblInd w:w="96" w:type="dxa"/>
        <w:tblLayout w:type="fixed"/>
        <w:tblLook w:val="04A0" w:firstRow="1" w:lastRow="0" w:firstColumn="1" w:lastColumn="0" w:noHBand="0" w:noVBand="1"/>
      </w:tblPr>
      <w:tblGrid>
        <w:gridCol w:w="949"/>
        <w:gridCol w:w="950"/>
        <w:gridCol w:w="950"/>
        <w:gridCol w:w="940"/>
        <w:gridCol w:w="940"/>
        <w:gridCol w:w="943"/>
        <w:gridCol w:w="952"/>
        <w:gridCol w:w="1752"/>
      </w:tblGrid>
      <w:tr w:rsidR="005B6FD7">
        <w:trPr>
          <w:trHeight w:val="454"/>
        </w:trPr>
        <w:tc>
          <w:tcPr>
            <w:tcW w:w="1899"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5B6FD7" w:rsidRDefault="008B291F">
            <w:pPr>
              <w:widowControl/>
              <w:adjustRightInd w:val="0"/>
              <w:jc w:val="center"/>
              <w:rPr>
                <w:rFonts w:asciiTheme="minorEastAsia" w:hAnsiTheme="minorEastAsia" w:cstheme="minorEastAsia"/>
                <w:b/>
                <w:bCs/>
                <w:color w:val="000000"/>
                <w:kern w:val="0"/>
                <w:sz w:val="24"/>
                <w:szCs w:val="24"/>
              </w:rPr>
            </w:pPr>
            <w:r>
              <w:rPr>
                <w:rFonts w:asciiTheme="minorEastAsia" w:hAnsiTheme="minorEastAsia" w:cstheme="minorEastAsia" w:hint="eastAsia"/>
                <w:b/>
                <w:bCs/>
                <w:color w:val="000000"/>
                <w:kern w:val="0"/>
                <w:sz w:val="24"/>
                <w:szCs w:val="24"/>
              </w:rPr>
              <w:t>时间</w:t>
            </w:r>
          </w:p>
        </w:tc>
        <w:tc>
          <w:tcPr>
            <w:tcW w:w="3773" w:type="dxa"/>
            <w:gridSpan w:val="4"/>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center"/>
              <w:rPr>
                <w:rFonts w:asciiTheme="minorEastAsia" w:hAnsiTheme="minorEastAsia" w:cstheme="minorEastAsia"/>
                <w:b/>
                <w:bCs/>
                <w:color w:val="000000"/>
                <w:kern w:val="0"/>
                <w:sz w:val="24"/>
                <w:szCs w:val="24"/>
              </w:rPr>
            </w:pPr>
            <w:r>
              <w:rPr>
                <w:rFonts w:asciiTheme="minorEastAsia" w:hAnsiTheme="minorEastAsia" w:cstheme="minorEastAsia" w:hint="eastAsia"/>
                <w:b/>
                <w:bCs/>
                <w:color w:val="000000"/>
                <w:kern w:val="0"/>
                <w:sz w:val="24"/>
                <w:szCs w:val="24"/>
              </w:rPr>
              <w:t>流程</w:t>
            </w:r>
          </w:p>
        </w:tc>
        <w:tc>
          <w:tcPr>
            <w:tcW w:w="952" w:type="dxa"/>
            <w:tcBorders>
              <w:top w:val="single" w:sz="8" w:space="0" w:color="auto"/>
              <w:left w:val="nil"/>
              <w:bottom w:val="single" w:sz="8" w:space="0" w:color="auto"/>
              <w:right w:val="single" w:sz="8" w:space="0" w:color="auto"/>
            </w:tcBorders>
            <w:shd w:val="clear" w:color="auto" w:fill="auto"/>
            <w:vAlign w:val="center"/>
          </w:tcPr>
          <w:p w:rsidR="005B6FD7" w:rsidRDefault="008B291F">
            <w:pPr>
              <w:widowControl/>
              <w:adjustRightInd w:val="0"/>
              <w:jc w:val="center"/>
              <w:rPr>
                <w:rFonts w:asciiTheme="minorEastAsia" w:hAnsiTheme="minorEastAsia" w:cstheme="minorEastAsia"/>
                <w:b/>
                <w:bCs/>
                <w:color w:val="000000"/>
                <w:kern w:val="0"/>
                <w:sz w:val="24"/>
                <w:szCs w:val="24"/>
              </w:rPr>
            </w:pPr>
            <w:r>
              <w:rPr>
                <w:rFonts w:asciiTheme="minorEastAsia" w:hAnsiTheme="minorEastAsia" w:cstheme="minorEastAsia" w:hint="eastAsia"/>
                <w:b/>
                <w:bCs/>
                <w:color w:val="000000"/>
                <w:kern w:val="0"/>
                <w:sz w:val="24"/>
                <w:szCs w:val="24"/>
              </w:rPr>
              <w:t>内容</w:t>
            </w:r>
          </w:p>
        </w:tc>
        <w:tc>
          <w:tcPr>
            <w:tcW w:w="1752" w:type="dxa"/>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center"/>
              <w:rPr>
                <w:rFonts w:asciiTheme="minorEastAsia" w:hAnsiTheme="minorEastAsia" w:cstheme="minorEastAsia"/>
                <w:b/>
                <w:bCs/>
                <w:color w:val="000000"/>
                <w:kern w:val="0"/>
                <w:sz w:val="24"/>
                <w:szCs w:val="24"/>
              </w:rPr>
            </w:pPr>
            <w:r>
              <w:rPr>
                <w:rFonts w:asciiTheme="minorEastAsia" w:hAnsiTheme="minorEastAsia" w:cstheme="minorEastAsia" w:hint="eastAsia"/>
                <w:b/>
                <w:bCs/>
                <w:color w:val="000000"/>
                <w:kern w:val="0"/>
                <w:sz w:val="24"/>
                <w:szCs w:val="24"/>
              </w:rPr>
              <w:t>备注</w:t>
            </w:r>
          </w:p>
        </w:tc>
      </w:tr>
      <w:tr w:rsidR="005B6FD7">
        <w:trPr>
          <w:trHeight w:val="454"/>
        </w:trPr>
        <w:tc>
          <w:tcPr>
            <w:tcW w:w="949" w:type="dxa"/>
            <w:vMerge w:val="restart"/>
            <w:tcBorders>
              <w:top w:val="nil"/>
              <w:left w:val="single" w:sz="8" w:space="0" w:color="auto"/>
              <w:bottom w:val="single" w:sz="8" w:space="0" w:color="000000"/>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赛前</w:t>
            </w:r>
          </w:p>
        </w:tc>
        <w:tc>
          <w:tcPr>
            <w:tcW w:w="950"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赛前一个月</w:t>
            </w:r>
          </w:p>
        </w:tc>
        <w:tc>
          <w:tcPr>
            <w:tcW w:w="3773" w:type="dxa"/>
            <w:gridSpan w:val="4"/>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专家组会议</w:t>
            </w:r>
          </w:p>
        </w:tc>
        <w:tc>
          <w:tcPr>
            <w:tcW w:w="2704" w:type="dxa"/>
            <w:gridSpan w:val="2"/>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专家组会议</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赛前</w:t>
            </w:r>
          </w:p>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一天</w:t>
            </w:r>
          </w:p>
        </w:tc>
        <w:tc>
          <w:tcPr>
            <w:tcW w:w="4725" w:type="dxa"/>
            <w:gridSpan w:val="5"/>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参赛队报到</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全天</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val="restart"/>
            <w:tcBorders>
              <w:top w:val="nil"/>
              <w:left w:val="single" w:sz="8" w:space="0" w:color="auto"/>
              <w:bottom w:val="single" w:sz="8" w:space="0" w:color="000000"/>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赛前</w:t>
            </w:r>
          </w:p>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一天</w:t>
            </w:r>
          </w:p>
        </w:tc>
        <w:tc>
          <w:tcPr>
            <w:tcW w:w="4725" w:type="dxa"/>
            <w:gridSpan w:val="5"/>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工作人员会议</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上午09:00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4725" w:type="dxa"/>
            <w:gridSpan w:val="5"/>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裁判员培训工作会</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上午10:30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4725" w:type="dxa"/>
            <w:gridSpan w:val="5"/>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竞赛开赛式</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14：00-14：30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283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领队会</w:t>
            </w:r>
          </w:p>
        </w:tc>
        <w:tc>
          <w:tcPr>
            <w:tcW w:w="1895" w:type="dxa"/>
            <w:gridSpan w:val="2"/>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领队会</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14：30-15：30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2830" w:type="dxa"/>
            <w:gridSpan w:val="3"/>
            <w:vMerge/>
            <w:tcBorders>
              <w:top w:val="single" w:sz="8" w:space="0" w:color="auto"/>
              <w:left w:val="single" w:sz="8" w:space="0" w:color="auto"/>
              <w:bottom w:val="single" w:sz="8" w:space="0" w:color="000000"/>
              <w:right w:val="single" w:sz="8" w:space="0" w:color="000000"/>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1895" w:type="dxa"/>
            <w:gridSpan w:val="2"/>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抽取检录序号</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15：30-17：00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2830" w:type="dxa"/>
            <w:gridSpan w:val="3"/>
            <w:tcBorders>
              <w:top w:val="single" w:sz="8" w:space="0" w:color="000000"/>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熟悉场地</w:t>
            </w:r>
          </w:p>
        </w:tc>
        <w:tc>
          <w:tcPr>
            <w:tcW w:w="1895" w:type="dxa"/>
            <w:gridSpan w:val="2"/>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参赛队熟悉场地、测试电脑及网络</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14：30-16：00</w:t>
            </w:r>
          </w:p>
        </w:tc>
      </w:tr>
      <w:tr w:rsidR="005B6FD7">
        <w:trPr>
          <w:trHeight w:val="454"/>
        </w:trPr>
        <w:tc>
          <w:tcPr>
            <w:tcW w:w="949" w:type="dxa"/>
            <w:vMerge w:val="restart"/>
            <w:tcBorders>
              <w:top w:val="nil"/>
              <w:left w:val="single" w:sz="8" w:space="0" w:color="auto"/>
              <w:bottom w:val="single" w:sz="4" w:space="0" w:color="auto"/>
              <w:right w:val="single" w:sz="8" w:space="0" w:color="auto"/>
            </w:tcBorders>
            <w:shd w:val="clear" w:color="auto" w:fill="auto"/>
            <w:vAlign w:val="center"/>
          </w:tcPr>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8B291F">
            <w:pPr>
              <w:widowControl/>
              <w:adjustRightInd w:val="0"/>
              <w:jc w:val="center"/>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比赛</w:t>
            </w: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8B291F">
            <w:pPr>
              <w:widowControl/>
              <w:adjustRightInd w:val="0"/>
              <w:jc w:val="center"/>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比赛</w:t>
            </w:r>
          </w:p>
        </w:tc>
        <w:tc>
          <w:tcPr>
            <w:tcW w:w="950" w:type="dxa"/>
            <w:vMerge w:val="restart"/>
            <w:tcBorders>
              <w:top w:val="nil"/>
              <w:left w:val="single" w:sz="8" w:space="0" w:color="auto"/>
              <w:bottom w:val="single" w:sz="4" w:space="0" w:color="auto"/>
              <w:right w:val="single" w:sz="8" w:space="0" w:color="auto"/>
            </w:tcBorders>
            <w:shd w:val="clear" w:color="auto" w:fill="auto"/>
            <w:vAlign w:val="center"/>
          </w:tcPr>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8B291F">
            <w:pPr>
              <w:widowControl/>
              <w:adjustRightInd w:val="0"/>
              <w:jc w:val="center"/>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上午</w:t>
            </w: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5B6FD7">
            <w:pPr>
              <w:widowControl/>
              <w:adjustRightInd w:val="0"/>
              <w:jc w:val="center"/>
              <w:rPr>
                <w:rFonts w:asciiTheme="minorEastAsia" w:hAnsiTheme="minorEastAsia" w:cstheme="minorEastAsia"/>
                <w:color w:val="000000"/>
                <w:kern w:val="0"/>
                <w:sz w:val="24"/>
                <w:szCs w:val="24"/>
              </w:rPr>
            </w:pPr>
          </w:p>
          <w:p w:rsidR="005B6FD7" w:rsidRDefault="008B291F">
            <w:pPr>
              <w:widowControl/>
              <w:adjustRightInd w:val="0"/>
              <w:jc w:val="center"/>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上午</w:t>
            </w:r>
          </w:p>
        </w:tc>
        <w:tc>
          <w:tcPr>
            <w:tcW w:w="4725" w:type="dxa"/>
            <w:gridSpan w:val="5"/>
            <w:tcBorders>
              <w:top w:val="single" w:sz="8" w:space="0" w:color="auto"/>
              <w:left w:val="nil"/>
              <w:bottom w:val="single" w:sz="4"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参赛选手报到、检录</w:t>
            </w:r>
          </w:p>
        </w:tc>
        <w:tc>
          <w:tcPr>
            <w:tcW w:w="1752" w:type="dxa"/>
            <w:tcBorders>
              <w:top w:val="nil"/>
              <w:left w:val="nil"/>
              <w:bottom w:val="single" w:sz="4"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07:00（参赛选手持参赛证、身份证、学生证）</w:t>
            </w:r>
          </w:p>
        </w:tc>
      </w:tr>
      <w:tr w:rsidR="005B6FD7">
        <w:trPr>
          <w:trHeight w:val="454"/>
        </w:trPr>
        <w:tc>
          <w:tcPr>
            <w:tcW w:w="949" w:type="dxa"/>
            <w:vMerge/>
            <w:tcBorders>
              <w:top w:val="single" w:sz="4" w:space="0" w:color="auto"/>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single" w:sz="4" w:space="0" w:color="auto"/>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4725" w:type="dxa"/>
            <w:gridSpan w:val="5"/>
            <w:tcBorders>
              <w:top w:val="single" w:sz="4"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选手代表进行二次抽签加密</w:t>
            </w:r>
          </w:p>
        </w:tc>
        <w:tc>
          <w:tcPr>
            <w:tcW w:w="1752" w:type="dxa"/>
            <w:tcBorders>
              <w:top w:val="single" w:sz="4" w:space="0" w:color="auto"/>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上午07:15</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4725" w:type="dxa"/>
            <w:gridSpan w:val="5"/>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入场、赛前准备</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上午07:30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4725" w:type="dxa"/>
            <w:gridSpan w:val="5"/>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题库中抽取正式竞赛试题</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上午07:30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4725" w:type="dxa"/>
            <w:gridSpan w:val="5"/>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下发正式竞赛试题资料</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上午07:40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val="restart"/>
            <w:tcBorders>
              <w:top w:val="nil"/>
              <w:left w:val="single" w:sz="8" w:space="0" w:color="auto"/>
              <w:bottom w:val="single" w:sz="8" w:space="0" w:color="000000"/>
              <w:right w:val="single" w:sz="8" w:space="0" w:color="auto"/>
            </w:tcBorders>
            <w:shd w:val="clear" w:color="auto" w:fill="auto"/>
            <w:vAlign w:val="center"/>
          </w:tcPr>
          <w:p w:rsidR="005B6FD7" w:rsidRDefault="008B291F">
            <w:pPr>
              <w:widowControl/>
              <w:adjustRightInd w:val="0"/>
              <w:jc w:val="center"/>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正式竞赛</w:t>
            </w:r>
          </w:p>
        </w:tc>
        <w:tc>
          <w:tcPr>
            <w:tcW w:w="3775" w:type="dxa"/>
            <w:gridSpan w:val="4"/>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第1年企业运营</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07：50-09：10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3775" w:type="dxa"/>
            <w:gridSpan w:val="4"/>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第1年末看盘</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09：10-09：25</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3775" w:type="dxa"/>
            <w:gridSpan w:val="4"/>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第2年广告投放</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09：25-09：35</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3775" w:type="dxa"/>
            <w:gridSpan w:val="4"/>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第2年查看广告、选单</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09：35-10：05</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3775" w:type="dxa"/>
            <w:gridSpan w:val="4"/>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第2年企业运营</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10：05-10：55</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3775" w:type="dxa"/>
            <w:gridSpan w:val="4"/>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第2年末看盘</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10：55-11：10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3775" w:type="dxa"/>
            <w:gridSpan w:val="4"/>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第3年广告投放</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11：10-11：20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3775" w:type="dxa"/>
            <w:gridSpan w:val="4"/>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第3年查看广告、选单</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11：20-11：55</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center"/>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中午</w:t>
            </w:r>
          </w:p>
        </w:tc>
        <w:tc>
          <w:tcPr>
            <w:tcW w:w="4725" w:type="dxa"/>
            <w:gridSpan w:val="5"/>
            <w:tcBorders>
              <w:top w:val="nil"/>
              <w:left w:val="nil"/>
              <w:bottom w:val="single" w:sz="8" w:space="0" w:color="auto"/>
              <w:right w:val="single" w:sz="8" w:space="0" w:color="000000"/>
            </w:tcBorders>
            <w:shd w:val="clear" w:color="auto" w:fill="auto"/>
            <w:vAlign w:val="center"/>
          </w:tcPr>
          <w:p w:rsidR="005B6FD7" w:rsidRDefault="008B291F">
            <w:pPr>
              <w:widowControl/>
              <w:adjustRightInd w:val="0"/>
              <w:jc w:val="center"/>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午餐</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11：55-12：40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val="restart"/>
            <w:tcBorders>
              <w:top w:val="nil"/>
              <w:left w:val="single" w:sz="8" w:space="0" w:color="auto"/>
              <w:bottom w:val="single" w:sz="8" w:space="0" w:color="000000"/>
              <w:right w:val="single" w:sz="8" w:space="0" w:color="auto"/>
            </w:tcBorders>
            <w:shd w:val="clear" w:color="auto" w:fill="auto"/>
            <w:vAlign w:val="center"/>
          </w:tcPr>
          <w:p w:rsidR="005B6FD7" w:rsidRDefault="008B291F">
            <w:pPr>
              <w:widowControl/>
              <w:adjustRightInd w:val="0"/>
              <w:jc w:val="center"/>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下午</w:t>
            </w:r>
          </w:p>
        </w:tc>
        <w:tc>
          <w:tcPr>
            <w:tcW w:w="189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B6FD7" w:rsidRDefault="008B291F">
            <w:pPr>
              <w:widowControl/>
              <w:adjustRightInd w:val="0"/>
              <w:jc w:val="center"/>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正式竞赛</w:t>
            </w: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第3年企业运营</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12：40-13：30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1890" w:type="dxa"/>
            <w:gridSpan w:val="2"/>
            <w:vMerge/>
            <w:tcBorders>
              <w:top w:val="single" w:sz="8" w:space="0" w:color="auto"/>
              <w:left w:val="single" w:sz="8" w:space="0" w:color="auto"/>
              <w:bottom w:val="single" w:sz="8" w:space="0" w:color="000000"/>
              <w:right w:val="single" w:sz="8" w:space="0" w:color="000000"/>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第3年末看盘</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13：30-13：45</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1890" w:type="dxa"/>
            <w:gridSpan w:val="2"/>
            <w:vMerge/>
            <w:tcBorders>
              <w:top w:val="single" w:sz="8" w:space="0" w:color="auto"/>
              <w:left w:val="single" w:sz="8" w:space="0" w:color="auto"/>
              <w:bottom w:val="single" w:sz="8" w:space="0" w:color="000000"/>
              <w:right w:val="single" w:sz="8" w:space="0" w:color="000000"/>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第4年广告投放</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13：45-13：55</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1890" w:type="dxa"/>
            <w:gridSpan w:val="2"/>
            <w:vMerge/>
            <w:tcBorders>
              <w:top w:val="single" w:sz="8" w:space="0" w:color="auto"/>
              <w:left w:val="single" w:sz="8" w:space="0" w:color="auto"/>
              <w:bottom w:val="single" w:sz="8" w:space="0" w:color="000000"/>
              <w:right w:val="single" w:sz="8" w:space="0" w:color="000000"/>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第4年查看广告、选单</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13：55-14：35</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1890" w:type="dxa"/>
            <w:gridSpan w:val="2"/>
            <w:vMerge/>
            <w:tcBorders>
              <w:top w:val="single" w:sz="8" w:space="0" w:color="auto"/>
              <w:left w:val="single" w:sz="8" w:space="0" w:color="auto"/>
              <w:bottom w:val="single" w:sz="8" w:space="0" w:color="000000"/>
              <w:right w:val="single" w:sz="8" w:space="0" w:color="000000"/>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第4年企业运营</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14：35-15：25</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1890" w:type="dxa"/>
            <w:gridSpan w:val="2"/>
            <w:vMerge/>
            <w:tcBorders>
              <w:top w:val="single" w:sz="8" w:space="0" w:color="auto"/>
              <w:left w:val="single" w:sz="8" w:space="0" w:color="auto"/>
              <w:bottom w:val="single" w:sz="8" w:space="0" w:color="000000"/>
              <w:right w:val="single" w:sz="8" w:space="0" w:color="000000"/>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第4年末看盘</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15：25-15：40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1890" w:type="dxa"/>
            <w:gridSpan w:val="2"/>
            <w:vMerge/>
            <w:tcBorders>
              <w:top w:val="single" w:sz="8" w:space="0" w:color="auto"/>
              <w:left w:val="single" w:sz="8" w:space="0" w:color="auto"/>
              <w:bottom w:val="single" w:sz="8" w:space="0" w:color="000000"/>
              <w:right w:val="single" w:sz="8" w:space="0" w:color="000000"/>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第5年广告投放</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15：40-15：50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1890" w:type="dxa"/>
            <w:gridSpan w:val="2"/>
            <w:vMerge/>
            <w:tcBorders>
              <w:top w:val="single" w:sz="8" w:space="0" w:color="auto"/>
              <w:left w:val="single" w:sz="8" w:space="0" w:color="auto"/>
              <w:bottom w:val="single" w:sz="8" w:space="0" w:color="000000"/>
              <w:right w:val="single" w:sz="8" w:space="0" w:color="000000"/>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第5年查看广告、选单</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15：50-16：30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1890" w:type="dxa"/>
            <w:gridSpan w:val="2"/>
            <w:vMerge/>
            <w:tcBorders>
              <w:top w:val="single" w:sz="8" w:space="0" w:color="auto"/>
              <w:left w:val="single" w:sz="8" w:space="0" w:color="auto"/>
              <w:bottom w:val="single" w:sz="8" w:space="0" w:color="000000"/>
              <w:right w:val="single" w:sz="8" w:space="0" w:color="000000"/>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第5年企业运营</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16：30-17：20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val="restart"/>
            <w:tcBorders>
              <w:top w:val="nil"/>
              <w:left w:val="nil"/>
              <w:right w:val="single" w:sz="8" w:space="0" w:color="auto"/>
            </w:tcBorders>
            <w:shd w:val="clear" w:color="auto" w:fill="auto"/>
            <w:vAlign w:val="center"/>
          </w:tcPr>
          <w:p w:rsidR="005B6FD7" w:rsidRDefault="008B291F">
            <w:pPr>
              <w:widowControl/>
              <w:adjustRightInd w:val="0"/>
              <w:jc w:val="center"/>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晚上</w:t>
            </w:r>
          </w:p>
        </w:tc>
        <w:tc>
          <w:tcPr>
            <w:tcW w:w="4725" w:type="dxa"/>
            <w:gridSpan w:val="5"/>
            <w:tcBorders>
              <w:top w:val="nil"/>
              <w:left w:val="nil"/>
              <w:bottom w:val="single" w:sz="8" w:space="0" w:color="auto"/>
              <w:right w:val="single" w:sz="8" w:space="0" w:color="000000"/>
            </w:tcBorders>
            <w:shd w:val="clear" w:color="auto" w:fill="auto"/>
            <w:vAlign w:val="center"/>
          </w:tcPr>
          <w:p w:rsidR="005B6FD7" w:rsidRDefault="008B291F">
            <w:pPr>
              <w:widowControl/>
              <w:adjustRightInd w:val="0"/>
              <w:jc w:val="center"/>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晚餐</w:t>
            </w:r>
          </w:p>
        </w:tc>
        <w:tc>
          <w:tcPr>
            <w:tcW w:w="1752" w:type="dxa"/>
            <w:tcBorders>
              <w:top w:val="nil"/>
              <w:left w:val="nil"/>
              <w:bottom w:val="single" w:sz="8" w:space="0" w:color="auto"/>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17：20-18：00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left w:val="nil"/>
              <w:right w:val="single" w:sz="8" w:space="0" w:color="auto"/>
            </w:tcBorders>
            <w:shd w:val="clear" w:color="auto" w:fill="auto"/>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1890" w:type="dxa"/>
            <w:gridSpan w:val="2"/>
            <w:vMerge w:val="restart"/>
            <w:tcBorders>
              <w:top w:val="single" w:sz="8" w:space="0" w:color="000000"/>
              <w:left w:val="single" w:sz="8" w:space="0" w:color="auto"/>
              <w:bottom w:val="single" w:sz="8" w:space="0" w:color="000000"/>
              <w:right w:val="single" w:sz="8" w:space="0" w:color="000000"/>
            </w:tcBorders>
            <w:shd w:val="clear" w:color="auto" w:fill="auto"/>
            <w:vAlign w:val="center"/>
          </w:tcPr>
          <w:p w:rsidR="005B6FD7" w:rsidRDefault="008B291F">
            <w:pPr>
              <w:widowControl/>
              <w:adjustRightInd w:val="0"/>
              <w:jc w:val="center"/>
              <w:rPr>
                <w:rFonts w:asciiTheme="minorEastAsia" w:hAnsiTheme="minorEastAsia" w:cstheme="minorEastAsia"/>
                <w:color w:val="000000"/>
                <w:kern w:val="0"/>
                <w:sz w:val="24"/>
                <w:szCs w:val="24"/>
              </w:rPr>
            </w:pPr>
            <w:proofErr w:type="gramStart"/>
            <w:r>
              <w:rPr>
                <w:rFonts w:asciiTheme="minorEastAsia" w:hAnsiTheme="minorEastAsia" w:cstheme="minorEastAsia" w:hint="eastAsia"/>
                <w:color w:val="000000"/>
                <w:kern w:val="0"/>
                <w:sz w:val="24"/>
                <w:szCs w:val="24"/>
              </w:rPr>
              <w:t>闭赛式</w:t>
            </w:r>
            <w:proofErr w:type="gramEnd"/>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裁判长点评</w:t>
            </w:r>
          </w:p>
        </w:tc>
        <w:tc>
          <w:tcPr>
            <w:tcW w:w="1752" w:type="dxa"/>
            <w:vMerge w:val="restart"/>
            <w:tcBorders>
              <w:top w:val="nil"/>
              <w:left w:val="single" w:sz="8" w:space="0" w:color="000000"/>
              <w:bottom w:val="single" w:sz="8" w:space="0" w:color="000000"/>
              <w:right w:val="single" w:sz="8" w:space="0" w:color="auto"/>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19：30-20：30</w:t>
            </w:r>
          </w:p>
        </w:tc>
      </w:tr>
      <w:tr w:rsidR="005B6FD7">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950" w:type="dxa"/>
            <w:vMerge/>
            <w:tcBorders>
              <w:left w:val="nil"/>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1890" w:type="dxa"/>
            <w:gridSpan w:val="2"/>
            <w:vMerge/>
            <w:tcBorders>
              <w:top w:val="single" w:sz="8" w:space="0" w:color="000000"/>
              <w:left w:val="single" w:sz="8" w:space="0" w:color="auto"/>
              <w:bottom w:val="single" w:sz="8" w:space="0" w:color="000000"/>
              <w:right w:val="single" w:sz="8" w:space="0" w:color="000000"/>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5B6FD7" w:rsidRDefault="008B291F">
            <w:pPr>
              <w:widowControl/>
              <w:adjustRightInd w:val="0"/>
              <w:jc w:val="left"/>
              <w:rPr>
                <w:rFonts w:asciiTheme="minorEastAsia" w:hAnsiTheme="minorEastAsia" w:cstheme="minorEastAsia"/>
                <w:color w:val="000000"/>
                <w:kern w:val="0"/>
                <w:sz w:val="24"/>
                <w:szCs w:val="24"/>
              </w:rPr>
            </w:pPr>
            <w:r>
              <w:rPr>
                <w:rFonts w:asciiTheme="minorEastAsia" w:hAnsiTheme="minorEastAsia" w:cstheme="minorEastAsia" w:hint="eastAsia"/>
                <w:color w:val="000000"/>
                <w:kern w:val="0"/>
                <w:sz w:val="24"/>
                <w:szCs w:val="24"/>
              </w:rPr>
              <w:t>颁奖、</w:t>
            </w:r>
            <w:proofErr w:type="gramStart"/>
            <w:r>
              <w:rPr>
                <w:rFonts w:asciiTheme="minorEastAsia" w:hAnsiTheme="minorEastAsia" w:cstheme="minorEastAsia" w:hint="eastAsia"/>
                <w:color w:val="000000"/>
                <w:kern w:val="0"/>
                <w:sz w:val="24"/>
                <w:szCs w:val="24"/>
              </w:rPr>
              <w:t>闭赛式</w:t>
            </w:r>
            <w:proofErr w:type="gramEnd"/>
          </w:p>
        </w:tc>
        <w:tc>
          <w:tcPr>
            <w:tcW w:w="1752" w:type="dxa"/>
            <w:vMerge/>
            <w:tcBorders>
              <w:top w:val="nil"/>
              <w:left w:val="single" w:sz="8" w:space="0" w:color="000000"/>
              <w:bottom w:val="single" w:sz="8" w:space="0" w:color="000000"/>
              <w:right w:val="single" w:sz="8" w:space="0" w:color="auto"/>
            </w:tcBorders>
            <w:vAlign w:val="center"/>
          </w:tcPr>
          <w:p w:rsidR="005B6FD7" w:rsidRDefault="005B6FD7">
            <w:pPr>
              <w:widowControl/>
              <w:adjustRightInd w:val="0"/>
              <w:jc w:val="left"/>
              <w:rPr>
                <w:rFonts w:asciiTheme="minorEastAsia" w:hAnsiTheme="minorEastAsia" w:cstheme="minorEastAsia"/>
                <w:color w:val="000000"/>
                <w:kern w:val="0"/>
                <w:sz w:val="24"/>
                <w:szCs w:val="24"/>
              </w:rPr>
            </w:pPr>
          </w:p>
        </w:tc>
      </w:tr>
    </w:tbl>
    <w:p w:rsidR="005B6FD7" w:rsidRDefault="008B291F">
      <w:pPr>
        <w:snapToGrid w:val="0"/>
        <w:spacing w:line="560" w:lineRule="exact"/>
        <w:rPr>
          <w:rFonts w:ascii="仿宋_GB2312" w:eastAsia="仿宋_GB2312" w:hAnsi="仿宋_GB2312" w:cs="仿宋_GB2312"/>
          <w:b/>
          <w:sz w:val="30"/>
          <w:szCs w:val="30"/>
        </w:rPr>
      </w:pPr>
      <w:r>
        <w:rPr>
          <w:rFonts w:ascii="仿宋_GB2312" w:eastAsia="仿宋_GB2312" w:hAnsi="仿宋_GB2312" w:cs="仿宋_GB2312" w:hint="eastAsia"/>
          <w:bCs/>
          <w:sz w:val="30"/>
          <w:szCs w:val="30"/>
        </w:rPr>
        <w:t xml:space="preserve">   </w:t>
      </w:r>
      <w:r>
        <w:rPr>
          <w:rFonts w:ascii="仿宋_GB2312" w:eastAsia="仿宋_GB2312" w:hAnsi="仿宋_GB2312" w:cs="仿宋_GB2312" w:hint="eastAsia"/>
          <w:b/>
          <w:sz w:val="30"/>
          <w:szCs w:val="30"/>
        </w:rPr>
        <w:t xml:space="preserve"> </w:t>
      </w:r>
      <w:r>
        <w:rPr>
          <w:rFonts w:ascii="黑体" w:eastAsia="黑体" w:hAnsi="黑体" w:cs="黑体" w:hint="eastAsia"/>
          <w:b/>
          <w:sz w:val="30"/>
          <w:szCs w:val="30"/>
        </w:rPr>
        <w:t>九、竞赛试题</w:t>
      </w:r>
    </w:p>
    <w:p w:rsidR="005B6FD7" w:rsidRDefault="00EA4C93">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本赛项采取公开试题的方式，</w:t>
      </w:r>
      <w:r w:rsidR="008B291F">
        <w:rPr>
          <w:rFonts w:ascii="仿宋_GB2312" w:eastAsia="仿宋_GB2312" w:hAnsi="仿宋_GB2312" w:cs="仿宋_GB2312" w:hint="eastAsia"/>
          <w:sz w:val="30"/>
          <w:szCs w:val="30"/>
        </w:rPr>
        <w:t>赛前一个月在大赛指定网络信息发布平台（http://www.chinaskills-jsw.org/）上</w:t>
      </w:r>
      <w:r>
        <w:rPr>
          <w:rFonts w:ascii="仿宋_GB2312" w:eastAsia="仿宋_GB2312" w:hAnsi="仿宋_GB2312" w:cs="仿宋_GB2312" w:hint="eastAsia"/>
          <w:sz w:val="30"/>
          <w:szCs w:val="30"/>
        </w:rPr>
        <w:t>公开全部赛题。</w:t>
      </w:r>
      <w:proofErr w:type="gramStart"/>
      <w:r>
        <w:rPr>
          <w:rFonts w:ascii="仿宋_GB2312" w:eastAsia="仿宋_GB2312" w:hAnsi="仿宋_GB2312" w:cs="仿宋_GB2312" w:hint="eastAsia"/>
          <w:sz w:val="30"/>
          <w:szCs w:val="30"/>
        </w:rPr>
        <w:t>样题见</w:t>
      </w:r>
      <w:proofErr w:type="gramEnd"/>
      <w:r>
        <w:rPr>
          <w:rFonts w:ascii="仿宋_GB2312" w:eastAsia="仿宋_GB2312" w:hAnsi="仿宋_GB2312" w:cs="仿宋_GB2312" w:hint="eastAsia"/>
          <w:sz w:val="30"/>
          <w:szCs w:val="30"/>
        </w:rPr>
        <w:t>附件。</w:t>
      </w:r>
    </w:p>
    <w:p w:rsidR="005B6FD7" w:rsidRDefault="008B291F">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十、评分标准制定原则、评分方法、评分细则</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（一）评分标准制定原则</w:t>
      </w:r>
    </w:p>
    <w:p w:rsidR="005B6FD7" w:rsidRDefault="008B291F">
      <w:pPr>
        <w:snapToGrid w:val="0"/>
        <w:spacing w:line="560" w:lineRule="exact"/>
        <w:ind w:firstLineChars="300" w:firstLine="900"/>
        <w:rPr>
          <w:rFonts w:ascii="仿宋_GB2312" w:eastAsia="仿宋_GB2312" w:hAnsi="仿宋_GB2312" w:cs="仿宋_GB2312"/>
          <w:sz w:val="30"/>
          <w:szCs w:val="30"/>
        </w:rPr>
      </w:pPr>
      <w:r>
        <w:rPr>
          <w:rFonts w:ascii="仿宋_GB2312" w:eastAsia="仿宋_GB2312" w:hAnsi="仿宋_GB2312" w:cs="仿宋_GB2312" w:hint="eastAsia"/>
          <w:sz w:val="30"/>
          <w:szCs w:val="30"/>
        </w:rPr>
        <w:t>1.本赛项评分标准制定遵循“公平、公正、公开”的原则；</w:t>
      </w:r>
    </w:p>
    <w:p w:rsidR="005B6FD7" w:rsidRDefault="008B291F">
      <w:pPr>
        <w:snapToGrid w:val="0"/>
        <w:spacing w:line="560" w:lineRule="exact"/>
        <w:ind w:firstLineChars="300" w:firstLine="900"/>
        <w:rPr>
          <w:rFonts w:ascii="仿宋_GB2312" w:eastAsia="仿宋_GB2312" w:hAnsi="仿宋_GB2312" w:cs="仿宋_GB2312"/>
          <w:sz w:val="30"/>
          <w:szCs w:val="30"/>
        </w:rPr>
      </w:pPr>
      <w:r>
        <w:rPr>
          <w:rFonts w:ascii="仿宋_GB2312" w:eastAsia="仿宋_GB2312" w:hAnsi="仿宋_GB2312" w:cs="仿宋_GB2312" w:hint="eastAsia"/>
          <w:sz w:val="30"/>
          <w:szCs w:val="30"/>
        </w:rPr>
        <w:t>2.应用信息化系统进行机考评分，无人为因素干扰。</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（二）评分方法</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竞赛评分采用系统按规则自动生成和评委打分相结合的方式进行。其中，模拟运营企业的成绩由系统自动生成，具体为各团队最后一年末的所有者权益；评委打分是针对各团队选手在操作过程中的违规行为按规则所给的处罚分。</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各团队实际得分的计算方法为：</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实际得分＝最后一年末的所有者权益-罚分</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（三）评分细则</w:t>
      </w:r>
    </w:p>
    <w:p w:rsidR="005B6FD7" w:rsidRDefault="008B291F">
      <w:pPr>
        <w:snapToGrid w:val="0"/>
        <w:spacing w:line="560" w:lineRule="exact"/>
        <w:ind w:firstLineChars="300" w:firstLine="900"/>
        <w:rPr>
          <w:rFonts w:ascii="仿宋_GB2312" w:eastAsia="仿宋_GB2312" w:hAnsi="仿宋_GB2312" w:cs="仿宋_GB2312"/>
          <w:sz w:val="30"/>
          <w:szCs w:val="30"/>
        </w:rPr>
      </w:pPr>
      <w:r>
        <w:rPr>
          <w:rFonts w:ascii="仿宋_GB2312" w:eastAsia="仿宋_GB2312" w:hAnsi="仿宋_GB2312" w:cs="仿宋_GB2312" w:hint="eastAsia"/>
          <w:sz w:val="30"/>
          <w:szCs w:val="30"/>
        </w:rPr>
        <w:t>1.排名细则</w:t>
      </w:r>
    </w:p>
    <w:p w:rsidR="005B6FD7" w:rsidRDefault="008B291F">
      <w:pPr>
        <w:snapToGrid w:val="0"/>
        <w:spacing w:line="560" w:lineRule="exact"/>
        <w:ind w:firstLineChars="200" w:firstLine="600"/>
        <w:rPr>
          <w:sz w:val="24"/>
        </w:rPr>
      </w:pPr>
      <w:r>
        <w:rPr>
          <w:rFonts w:ascii="仿宋_GB2312" w:eastAsia="仿宋_GB2312" w:hAnsi="仿宋_GB2312" w:cs="仿宋_GB2312" w:hint="eastAsia"/>
          <w:sz w:val="30"/>
          <w:szCs w:val="30"/>
        </w:rPr>
        <w:t>若实际得分计算结果相同，则按照各队最后一年系统自动生成的分数高者排名在前；若系统自动计算的成绩仍相等，则参照最后一年经营结束时间，先结束最后一年经营的队伍排名在前。</w:t>
      </w:r>
    </w:p>
    <w:p w:rsidR="005B6FD7" w:rsidRDefault="008B291F">
      <w:pPr>
        <w:snapToGrid w:val="0"/>
        <w:spacing w:line="56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2.罚分细则</w:t>
      </w:r>
    </w:p>
    <w:p w:rsidR="005B6FD7" w:rsidRDefault="008B291F">
      <w:pPr>
        <w:snapToGrid w:val="0"/>
        <w:spacing w:line="560" w:lineRule="exact"/>
        <w:ind w:firstLineChars="300" w:firstLine="900"/>
        <w:rPr>
          <w:rFonts w:ascii="仿宋_GB2312" w:eastAsia="仿宋_GB2312" w:hAnsi="仿宋_GB2312" w:cs="仿宋_GB2312"/>
          <w:sz w:val="30"/>
          <w:szCs w:val="30"/>
        </w:rPr>
      </w:pPr>
      <w:r>
        <w:rPr>
          <w:rFonts w:ascii="仿宋_GB2312" w:eastAsia="仿宋_GB2312" w:hAnsi="仿宋_GB2312" w:cs="仿宋_GB2312" w:hint="eastAsia"/>
          <w:sz w:val="30"/>
          <w:szCs w:val="30"/>
        </w:rPr>
        <w:t>（1）运行超时罚分</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运行超时有两种情况：一是指不能在规定时间完成广告投放(可提前</w:t>
      </w:r>
      <w:proofErr w:type="gramStart"/>
      <w:r>
        <w:rPr>
          <w:rFonts w:ascii="仿宋_GB2312" w:eastAsia="仿宋_GB2312" w:hAnsi="仿宋_GB2312" w:cs="仿宋_GB2312" w:hint="eastAsia"/>
          <w:sz w:val="30"/>
          <w:szCs w:val="30"/>
        </w:rPr>
        <w:t>投广告</w:t>
      </w:r>
      <w:proofErr w:type="gramEnd"/>
      <w:r>
        <w:rPr>
          <w:rFonts w:ascii="仿宋_GB2312" w:eastAsia="仿宋_GB2312" w:hAnsi="仿宋_GB2312" w:cs="仿宋_GB2312" w:hint="eastAsia"/>
          <w:sz w:val="30"/>
          <w:szCs w:val="30"/>
        </w:rPr>
        <w:t>)；二是指不能在规定时间完成当年经营(以点击系统中“当年结束”按钮并确认为准)。</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处罚：按总分1权益/分钟（不满一分钟按一分钟计算）计算罚分，最多不能超过10分钟。如果到10分钟后还不能完成相应的运行，将取消其参赛资格。</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注意：投放广告时间、完成经营时间及提交报表时间系统均会记录，作为罚分依据。</w:t>
      </w:r>
    </w:p>
    <w:p w:rsidR="005B6FD7" w:rsidRDefault="008B291F">
      <w:pPr>
        <w:snapToGrid w:val="0"/>
        <w:spacing w:line="560" w:lineRule="exact"/>
        <w:ind w:firstLineChars="300" w:firstLine="900"/>
        <w:rPr>
          <w:rFonts w:ascii="仿宋_GB2312" w:eastAsia="仿宋_GB2312" w:hAnsi="仿宋_GB2312" w:cs="仿宋_GB2312"/>
          <w:sz w:val="30"/>
          <w:szCs w:val="30"/>
        </w:rPr>
      </w:pPr>
      <w:r>
        <w:rPr>
          <w:rFonts w:ascii="仿宋_GB2312" w:eastAsia="仿宋_GB2312" w:hAnsi="仿宋_GB2312" w:cs="仿宋_GB2312" w:hint="eastAsia"/>
          <w:sz w:val="30"/>
          <w:szCs w:val="30"/>
        </w:rPr>
        <w:t>（2）报表错误罚分</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必须按规定时间在系统中填制资产负债表，如果上交的报表与系统自动生成的报表对照有误，在总得分中扣罚4权益/次，并以系统提供的报表为准修订。</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注意：对上交报表时间会作规定，延误交报表即视为错误一次，即使后来在系统中填制正确也要罚分。由运营超时引发延误交报表视同报表错误并罚分（即如果某队超时3分钟，将被扣除1*3+4=7权益）。</w:t>
      </w:r>
    </w:p>
    <w:p w:rsidR="005B6FD7" w:rsidRDefault="008B291F">
      <w:pPr>
        <w:snapToGrid w:val="0"/>
        <w:spacing w:line="560" w:lineRule="exact"/>
        <w:ind w:firstLineChars="300" w:firstLine="9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 xml:space="preserve">（3）摆盘错误罚分 </w:t>
      </w:r>
    </w:p>
    <w:p w:rsidR="005B6FD7" w:rsidRDefault="008B291F">
      <w:pPr>
        <w:snapToGrid w:val="0"/>
        <w:spacing w:line="56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比赛需要摆放物理盘面，看盘期间（每年经营结束后，由裁判宣布看盘时间），需要如实</w:t>
      </w:r>
      <w:proofErr w:type="gramStart"/>
      <w:r>
        <w:rPr>
          <w:rFonts w:ascii="仿宋_GB2312" w:eastAsia="仿宋_GB2312" w:hAnsi="仿宋_GB2312" w:cs="仿宋_GB2312" w:hint="eastAsia"/>
          <w:sz w:val="30"/>
          <w:szCs w:val="30"/>
        </w:rPr>
        <w:t>回答看</w:t>
      </w:r>
      <w:proofErr w:type="gramEnd"/>
      <w:r>
        <w:rPr>
          <w:rFonts w:ascii="仿宋_GB2312" w:eastAsia="仿宋_GB2312" w:hAnsi="仿宋_GB2312" w:cs="仿宋_GB2312" w:hint="eastAsia"/>
          <w:sz w:val="30"/>
          <w:szCs w:val="30"/>
        </w:rPr>
        <w:t>盘者提问，也不能拒绝看盘者看电脑屏幕并查看其中除销售订单外的任何信息（看盘者不能操作他队电脑，只能要求查看信息）。看盘时各队至少留一人。摆盘情况由裁判每年结束时，随机抽取队伍进行核对，发现错误后予以罚分。如果经裁判核实后发现摆盘错误，扣2权益/次。</w:t>
      </w:r>
    </w:p>
    <w:p w:rsidR="005B6FD7" w:rsidRDefault="008B291F">
      <w:pPr>
        <w:snapToGrid w:val="0"/>
        <w:spacing w:line="560" w:lineRule="exact"/>
        <w:ind w:firstLineChars="300" w:firstLine="900"/>
        <w:rPr>
          <w:rFonts w:ascii="仿宋_GB2312" w:eastAsia="仿宋_GB2312" w:hAnsi="仿宋_GB2312" w:cs="仿宋_GB2312"/>
          <w:sz w:val="30"/>
          <w:szCs w:val="30"/>
        </w:rPr>
      </w:pPr>
      <w:r>
        <w:rPr>
          <w:rFonts w:ascii="仿宋_GB2312" w:eastAsia="仿宋_GB2312" w:hAnsi="仿宋_GB2312" w:cs="仿宋_GB2312" w:hint="eastAsia"/>
          <w:sz w:val="30"/>
          <w:szCs w:val="30"/>
        </w:rPr>
        <w:t>（4）其它违规罚分</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在运行过程中下列情况属违规：</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a.对裁判正确的判罚不服从；</w:t>
      </w:r>
      <w:r>
        <w:rPr>
          <w:rFonts w:ascii="仿宋_GB2312" w:eastAsia="仿宋_GB2312" w:hAnsi="仿宋_GB2312" w:cs="仿宋_GB2312" w:hint="eastAsia"/>
          <w:sz w:val="30"/>
          <w:szCs w:val="30"/>
        </w:rPr>
        <w:tab/>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b.其他严重影响比赛正常进行的活动；</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如有以上行为者，在第5年经营结束后扣除该队总得分的20权益。</w:t>
      </w:r>
    </w:p>
    <w:p w:rsidR="005B6FD7" w:rsidRDefault="008B291F">
      <w:pPr>
        <w:snapToGrid w:val="0"/>
        <w:spacing w:line="56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3.最终成绩</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赛项最终成绩按100分制计分。假设A区成绩从高到低为A1\A2\A3……那么赋予成绩为99，98，97……B区、C区同理;如果A1/average（An）&gt;B1/average（</w:t>
      </w:r>
      <w:proofErr w:type="spellStart"/>
      <w:r>
        <w:rPr>
          <w:rFonts w:ascii="仿宋_GB2312" w:eastAsia="仿宋_GB2312" w:hAnsi="仿宋_GB2312" w:cs="仿宋_GB2312" w:hint="eastAsia"/>
          <w:sz w:val="30"/>
          <w:szCs w:val="30"/>
        </w:rPr>
        <w:t>Bn</w:t>
      </w:r>
      <w:proofErr w:type="spellEnd"/>
      <w:r>
        <w:rPr>
          <w:rFonts w:ascii="仿宋_GB2312" w:eastAsia="仿宋_GB2312" w:hAnsi="仿宋_GB2312" w:cs="仿宋_GB2312" w:hint="eastAsia"/>
          <w:sz w:val="30"/>
          <w:szCs w:val="30"/>
        </w:rPr>
        <w:t>）&gt;C1/average（Cn）,则A1成绩=99+0.5，B1成绩=99+0.25，C1成绩=99。同理，推算出各组的最终成绩。</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4.成绩复核</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为保障成绩评判的准确性，监督组将对赛项成绩排名前30%的所有参赛队伍（选手）的成绩进行复核；对其余成绩进行抽检复核，抽检覆盖率不得低于15%。如发现成绩错误以书面方式及时告知裁判长，由裁判长更正成绩并签字确认。复核、抽检错误</w:t>
      </w:r>
      <w:r>
        <w:rPr>
          <w:rFonts w:ascii="仿宋_GB2312" w:eastAsia="仿宋_GB2312" w:hAnsi="仿宋_GB2312" w:cs="仿宋_GB2312" w:hint="eastAsia"/>
          <w:sz w:val="30"/>
          <w:szCs w:val="30"/>
        </w:rPr>
        <w:lastRenderedPageBreak/>
        <w:t>率超过5%的，裁判组将对所有成绩进行复核。</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最终成绩经复核无误，由裁判长、监督人员和仲裁人员签字确认后公布。</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5.成绩公布</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竞赛成绩通过赛场显示屏和网络直播等方式进行实时公布。同时，在赛场及赛场外张贴纸质成绩。若有异议，经过规定程序仲裁后，按照仲裁结果公布比赛成绩。</w:t>
      </w:r>
    </w:p>
    <w:p w:rsidR="005B6FD7" w:rsidRDefault="005B6FD7">
      <w:pPr>
        <w:snapToGrid w:val="0"/>
        <w:spacing w:line="560" w:lineRule="exact"/>
        <w:ind w:firstLineChars="200" w:firstLine="600"/>
        <w:rPr>
          <w:rFonts w:ascii="仿宋_GB2312" w:eastAsia="仿宋_GB2312" w:hAnsi="仿宋_GB2312" w:cs="仿宋_GB2312"/>
          <w:sz w:val="30"/>
          <w:szCs w:val="30"/>
        </w:rPr>
      </w:pPr>
    </w:p>
    <w:p w:rsidR="005B6FD7" w:rsidRDefault="008B291F">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十一、奖项设置</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（一）设团体一、二、三等奖，以赛项实际参赛队总数为基数，一、二、三等奖获奖比例分别为10%、20%、30%（小数点后四舍五入）。</w:t>
      </w:r>
    </w:p>
    <w:p w:rsidR="005B6FD7" w:rsidRDefault="008B291F">
      <w:pPr>
        <w:snapToGrid w:val="0"/>
        <w:spacing w:line="560" w:lineRule="exact"/>
        <w:ind w:firstLineChars="200" w:firstLine="600"/>
        <w:rPr>
          <w:rFonts w:ascii="仿宋" w:eastAsia="仿宋" w:hAnsi="仿宋" w:cs="仿宋"/>
          <w:sz w:val="30"/>
          <w:szCs w:val="30"/>
        </w:rPr>
      </w:pPr>
      <w:r>
        <w:rPr>
          <w:rFonts w:ascii="仿宋_GB2312" w:eastAsia="仿宋_GB2312" w:hAnsi="仿宋_GB2312" w:cs="仿宋_GB2312" w:hint="eastAsia"/>
          <w:sz w:val="30"/>
          <w:szCs w:val="30"/>
        </w:rPr>
        <w:t>（二）获得一等奖的参赛</w:t>
      </w:r>
      <w:proofErr w:type="gramStart"/>
      <w:r>
        <w:rPr>
          <w:rFonts w:ascii="仿宋_GB2312" w:eastAsia="仿宋_GB2312" w:hAnsi="仿宋_GB2312" w:cs="仿宋_GB2312" w:hint="eastAsia"/>
          <w:sz w:val="30"/>
          <w:szCs w:val="30"/>
        </w:rPr>
        <w:t>队指导</w:t>
      </w:r>
      <w:proofErr w:type="gramEnd"/>
      <w:r>
        <w:rPr>
          <w:rFonts w:ascii="仿宋_GB2312" w:eastAsia="仿宋_GB2312" w:hAnsi="仿宋_GB2312" w:cs="仿宋_GB2312" w:hint="eastAsia"/>
          <w:sz w:val="30"/>
          <w:szCs w:val="30"/>
        </w:rPr>
        <w:t>教师由执委会颁发优秀指导教师证书。</w:t>
      </w:r>
    </w:p>
    <w:p w:rsidR="005B6FD7" w:rsidRDefault="008B291F">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十二、技术规范</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（一）参照“2014年教育部公布首批《中等职业学校专业教学标准（试行）》的通知”（教职</w:t>
      </w:r>
      <w:proofErr w:type="gramStart"/>
      <w:r>
        <w:rPr>
          <w:rFonts w:ascii="仿宋_GB2312" w:eastAsia="仿宋_GB2312" w:hAnsi="仿宋_GB2312" w:cs="仿宋_GB2312" w:hint="eastAsia"/>
          <w:sz w:val="30"/>
          <w:szCs w:val="30"/>
        </w:rPr>
        <w:t>成厅函</w:t>
      </w:r>
      <w:proofErr w:type="gramEnd"/>
      <w:r>
        <w:rPr>
          <w:rFonts w:ascii="仿宋_GB2312" w:eastAsia="仿宋_GB2312" w:hAnsi="仿宋_GB2312" w:cs="仿宋_GB2312" w:hint="eastAsia"/>
          <w:sz w:val="30"/>
          <w:szCs w:val="30"/>
        </w:rPr>
        <w:t>[2014] 11号）中财经商贸类专业的“专业标准”、“课程标准”为基本范围和基本要求。</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（二）竞赛以现行的财经法律、法规和财政部、国家税务总局、人民银行、国家质监局等出台的会计、税务、金融法规、制度和规范性文件为依据。（详见下表所列，未列</w:t>
      </w:r>
      <w:proofErr w:type="gramStart"/>
      <w:r>
        <w:rPr>
          <w:rFonts w:ascii="仿宋_GB2312" w:eastAsia="仿宋_GB2312" w:hAnsi="仿宋_GB2312" w:cs="仿宋_GB2312" w:hint="eastAsia"/>
          <w:sz w:val="30"/>
          <w:szCs w:val="30"/>
        </w:rPr>
        <w:t>尽规范</w:t>
      </w:r>
      <w:proofErr w:type="gramEnd"/>
      <w:r>
        <w:rPr>
          <w:rFonts w:ascii="仿宋_GB2312" w:eastAsia="仿宋_GB2312" w:hAnsi="仿宋_GB2312" w:cs="仿宋_GB2312" w:hint="eastAsia"/>
          <w:sz w:val="30"/>
          <w:szCs w:val="30"/>
        </w:rPr>
        <w:t>标准，以国家发布的相关标准为准）</w:t>
      </w:r>
    </w:p>
    <w:p w:rsidR="005B6FD7" w:rsidRDefault="008B291F">
      <w:pPr>
        <w:spacing w:line="560" w:lineRule="exact"/>
        <w:ind w:firstLine="600"/>
        <w:jc w:val="center"/>
        <w:rPr>
          <w:rFonts w:ascii="仿宋_GB2312" w:eastAsia="仿宋_GB2312" w:hAnsi="仿宋_GB2312" w:cs="仿宋_GB2312"/>
          <w:bCs/>
          <w:kern w:val="0"/>
          <w:sz w:val="30"/>
          <w:szCs w:val="30"/>
        </w:rPr>
      </w:pPr>
      <w:r>
        <w:rPr>
          <w:rFonts w:ascii="仿宋_GB2312" w:eastAsia="仿宋_GB2312" w:hAnsi="仿宋_GB2312" w:cs="仿宋_GB2312" w:hint="eastAsia"/>
          <w:bCs/>
          <w:kern w:val="0"/>
          <w:sz w:val="30"/>
          <w:szCs w:val="30"/>
        </w:rPr>
        <w:t>参赛团队应遵循的规范标准汇总表</w:t>
      </w:r>
    </w:p>
    <w:tbl>
      <w:tblPr>
        <w:tblW w:w="8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03"/>
        <w:gridCol w:w="3423"/>
        <w:gridCol w:w="2419"/>
        <w:gridCol w:w="1341"/>
      </w:tblGrid>
      <w:tr w:rsidR="005B6FD7">
        <w:tc>
          <w:tcPr>
            <w:tcW w:w="110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color w:val="000000"/>
                <w:sz w:val="24"/>
                <w:szCs w:val="24"/>
              </w:rPr>
            </w:pPr>
            <w:r>
              <w:rPr>
                <w:rFonts w:asciiTheme="minorEastAsia" w:hAnsiTheme="minorEastAsia" w:cstheme="minorEastAsia" w:hint="eastAsia"/>
                <w:b/>
                <w:bCs/>
                <w:color w:val="000000"/>
                <w:sz w:val="24"/>
                <w:szCs w:val="24"/>
              </w:rPr>
              <w:t>序号</w:t>
            </w:r>
          </w:p>
        </w:tc>
        <w:tc>
          <w:tcPr>
            <w:tcW w:w="342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color w:val="000000"/>
                <w:sz w:val="24"/>
                <w:szCs w:val="24"/>
              </w:rPr>
            </w:pPr>
            <w:r>
              <w:rPr>
                <w:rFonts w:asciiTheme="minorEastAsia" w:hAnsiTheme="minorEastAsia" w:cstheme="minorEastAsia" w:hint="eastAsia"/>
                <w:b/>
                <w:bCs/>
                <w:color w:val="000000"/>
                <w:sz w:val="24"/>
                <w:szCs w:val="24"/>
              </w:rPr>
              <w:t>名称</w:t>
            </w:r>
          </w:p>
        </w:tc>
        <w:tc>
          <w:tcPr>
            <w:tcW w:w="2419"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color w:val="000000"/>
                <w:sz w:val="24"/>
                <w:szCs w:val="24"/>
              </w:rPr>
            </w:pPr>
            <w:r>
              <w:rPr>
                <w:rFonts w:asciiTheme="minorEastAsia" w:hAnsiTheme="minorEastAsia" w:cstheme="minorEastAsia" w:hint="eastAsia"/>
                <w:b/>
                <w:bCs/>
                <w:color w:val="000000"/>
                <w:sz w:val="24"/>
                <w:szCs w:val="24"/>
              </w:rPr>
              <w:t>发布或开始执行时间</w:t>
            </w:r>
          </w:p>
        </w:tc>
        <w:tc>
          <w:tcPr>
            <w:tcW w:w="1341"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color w:val="000000"/>
                <w:sz w:val="24"/>
                <w:szCs w:val="24"/>
              </w:rPr>
            </w:pPr>
            <w:r>
              <w:rPr>
                <w:rFonts w:asciiTheme="minorEastAsia" w:hAnsiTheme="minorEastAsia" w:cstheme="minorEastAsia" w:hint="eastAsia"/>
                <w:b/>
                <w:bCs/>
                <w:color w:val="000000"/>
                <w:sz w:val="24"/>
                <w:szCs w:val="24"/>
              </w:rPr>
              <w:t>备注</w:t>
            </w:r>
          </w:p>
        </w:tc>
      </w:tr>
      <w:tr w:rsidR="005B6FD7">
        <w:tc>
          <w:tcPr>
            <w:tcW w:w="110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1</w:t>
            </w:r>
          </w:p>
        </w:tc>
        <w:tc>
          <w:tcPr>
            <w:tcW w:w="342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中华人民共和国会计法</w:t>
            </w:r>
          </w:p>
        </w:tc>
        <w:tc>
          <w:tcPr>
            <w:tcW w:w="2419"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2000.7.1</w:t>
            </w:r>
          </w:p>
        </w:tc>
        <w:tc>
          <w:tcPr>
            <w:tcW w:w="1341"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w:t>
            </w:r>
          </w:p>
        </w:tc>
      </w:tr>
      <w:tr w:rsidR="005B6FD7">
        <w:tc>
          <w:tcPr>
            <w:tcW w:w="110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2</w:t>
            </w:r>
          </w:p>
        </w:tc>
        <w:tc>
          <w:tcPr>
            <w:tcW w:w="342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中华人民共和国公司法</w:t>
            </w:r>
          </w:p>
        </w:tc>
        <w:tc>
          <w:tcPr>
            <w:tcW w:w="2419"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2007.1.1</w:t>
            </w:r>
          </w:p>
        </w:tc>
        <w:tc>
          <w:tcPr>
            <w:tcW w:w="1341"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41项</w:t>
            </w:r>
          </w:p>
        </w:tc>
      </w:tr>
      <w:tr w:rsidR="005B6FD7">
        <w:tc>
          <w:tcPr>
            <w:tcW w:w="110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lastRenderedPageBreak/>
              <w:t>3</w:t>
            </w:r>
          </w:p>
        </w:tc>
        <w:tc>
          <w:tcPr>
            <w:tcW w:w="342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企业会计基本准则</w:t>
            </w:r>
          </w:p>
        </w:tc>
        <w:tc>
          <w:tcPr>
            <w:tcW w:w="2419"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2007.1.1</w:t>
            </w:r>
          </w:p>
        </w:tc>
        <w:tc>
          <w:tcPr>
            <w:tcW w:w="1341" w:type="dxa"/>
            <w:tcBorders>
              <w:top w:val="single" w:sz="4" w:space="0" w:color="auto"/>
              <w:left w:val="single" w:sz="4" w:space="0" w:color="auto"/>
              <w:bottom w:val="single" w:sz="4" w:space="0" w:color="auto"/>
              <w:right w:val="single" w:sz="4" w:space="0" w:color="auto"/>
            </w:tcBorders>
          </w:tcPr>
          <w:p w:rsidR="005B6FD7" w:rsidRDefault="005B6FD7">
            <w:pPr>
              <w:widowControl/>
              <w:spacing w:before="100" w:beforeAutospacing="1" w:after="100" w:afterAutospacing="1"/>
              <w:jc w:val="center"/>
              <w:rPr>
                <w:rFonts w:asciiTheme="minorEastAsia" w:hAnsiTheme="minorEastAsia" w:cstheme="minorEastAsia"/>
                <w:color w:val="000000"/>
                <w:sz w:val="24"/>
                <w:szCs w:val="24"/>
              </w:rPr>
            </w:pPr>
          </w:p>
        </w:tc>
      </w:tr>
      <w:tr w:rsidR="005B6FD7">
        <w:tc>
          <w:tcPr>
            <w:tcW w:w="110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4</w:t>
            </w:r>
          </w:p>
        </w:tc>
        <w:tc>
          <w:tcPr>
            <w:tcW w:w="342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中华人民共和国产品质量法</w:t>
            </w:r>
          </w:p>
        </w:tc>
        <w:tc>
          <w:tcPr>
            <w:tcW w:w="2419"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1993.9.1</w:t>
            </w:r>
          </w:p>
        </w:tc>
        <w:tc>
          <w:tcPr>
            <w:tcW w:w="1341" w:type="dxa"/>
            <w:tcBorders>
              <w:top w:val="single" w:sz="4" w:space="0" w:color="auto"/>
              <w:left w:val="single" w:sz="4" w:space="0" w:color="auto"/>
              <w:bottom w:val="single" w:sz="4" w:space="0" w:color="auto"/>
              <w:right w:val="single" w:sz="4" w:space="0" w:color="auto"/>
            </w:tcBorders>
          </w:tcPr>
          <w:p w:rsidR="005B6FD7" w:rsidRDefault="005B6FD7">
            <w:pPr>
              <w:widowControl/>
              <w:spacing w:before="100" w:beforeAutospacing="1" w:after="100" w:afterAutospacing="1"/>
              <w:jc w:val="center"/>
              <w:rPr>
                <w:rFonts w:asciiTheme="minorEastAsia" w:hAnsiTheme="minorEastAsia" w:cstheme="minorEastAsia"/>
                <w:color w:val="000000"/>
                <w:sz w:val="24"/>
                <w:szCs w:val="24"/>
              </w:rPr>
            </w:pPr>
          </w:p>
        </w:tc>
      </w:tr>
      <w:tr w:rsidR="005B6FD7">
        <w:tc>
          <w:tcPr>
            <w:tcW w:w="110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5</w:t>
            </w:r>
          </w:p>
        </w:tc>
        <w:tc>
          <w:tcPr>
            <w:tcW w:w="342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企业内部控制基本规范</w:t>
            </w:r>
          </w:p>
        </w:tc>
        <w:tc>
          <w:tcPr>
            <w:tcW w:w="2419"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2008.5.22</w:t>
            </w:r>
          </w:p>
        </w:tc>
        <w:tc>
          <w:tcPr>
            <w:tcW w:w="1341" w:type="dxa"/>
            <w:tcBorders>
              <w:top w:val="single" w:sz="4" w:space="0" w:color="auto"/>
              <w:left w:val="single" w:sz="4" w:space="0" w:color="auto"/>
              <w:bottom w:val="single" w:sz="4" w:space="0" w:color="auto"/>
              <w:right w:val="single" w:sz="4" w:space="0" w:color="auto"/>
            </w:tcBorders>
          </w:tcPr>
          <w:p w:rsidR="005B6FD7" w:rsidRDefault="005B6FD7">
            <w:pPr>
              <w:widowControl/>
              <w:spacing w:before="100" w:beforeAutospacing="1" w:after="100" w:afterAutospacing="1"/>
              <w:jc w:val="center"/>
              <w:rPr>
                <w:rFonts w:asciiTheme="minorEastAsia" w:hAnsiTheme="minorEastAsia" w:cstheme="minorEastAsia"/>
                <w:color w:val="000000"/>
                <w:sz w:val="24"/>
                <w:szCs w:val="24"/>
              </w:rPr>
            </w:pPr>
          </w:p>
        </w:tc>
      </w:tr>
      <w:tr w:rsidR="005B6FD7">
        <w:tc>
          <w:tcPr>
            <w:tcW w:w="110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6</w:t>
            </w:r>
          </w:p>
        </w:tc>
        <w:tc>
          <w:tcPr>
            <w:tcW w:w="342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企业内部控制应用指引</w:t>
            </w:r>
          </w:p>
        </w:tc>
        <w:tc>
          <w:tcPr>
            <w:tcW w:w="2419"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2008.5.22</w:t>
            </w:r>
          </w:p>
        </w:tc>
        <w:tc>
          <w:tcPr>
            <w:tcW w:w="1341"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18项</w:t>
            </w:r>
          </w:p>
        </w:tc>
      </w:tr>
      <w:tr w:rsidR="005B6FD7">
        <w:tc>
          <w:tcPr>
            <w:tcW w:w="110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7</w:t>
            </w:r>
          </w:p>
        </w:tc>
        <w:tc>
          <w:tcPr>
            <w:tcW w:w="342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中华人民共和国企业所得税法</w:t>
            </w:r>
          </w:p>
        </w:tc>
        <w:tc>
          <w:tcPr>
            <w:tcW w:w="2419"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2008.1.1</w:t>
            </w:r>
          </w:p>
        </w:tc>
        <w:tc>
          <w:tcPr>
            <w:tcW w:w="1341"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w:t>
            </w:r>
          </w:p>
        </w:tc>
      </w:tr>
      <w:tr w:rsidR="005B6FD7">
        <w:tc>
          <w:tcPr>
            <w:tcW w:w="110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8</w:t>
            </w:r>
          </w:p>
        </w:tc>
        <w:tc>
          <w:tcPr>
            <w:tcW w:w="342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会计基础工作规范</w:t>
            </w:r>
          </w:p>
        </w:tc>
        <w:tc>
          <w:tcPr>
            <w:tcW w:w="2419"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1996.6.17</w:t>
            </w:r>
          </w:p>
        </w:tc>
        <w:tc>
          <w:tcPr>
            <w:tcW w:w="1341"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w:t>
            </w:r>
          </w:p>
        </w:tc>
      </w:tr>
      <w:tr w:rsidR="005B6FD7">
        <w:tc>
          <w:tcPr>
            <w:tcW w:w="110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9</w:t>
            </w:r>
          </w:p>
        </w:tc>
        <w:tc>
          <w:tcPr>
            <w:tcW w:w="3423"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支付结算管理办法</w:t>
            </w:r>
          </w:p>
        </w:tc>
        <w:tc>
          <w:tcPr>
            <w:tcW w:w="2419"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1997.9.19</w:t>
            </w:r>
          </w:p>
        </w:tc>
        <w:tc>
          <w:tcPr>
            <w:tcW w:w="1341"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lef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w:t>
            </w:r>
          </w:p>
        </w:tc>
      </w:tr>
    </w:tbl>
    <w:p w:rsidR="005B6FD7" w:rsidRDefault="008B291F">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十三、建议使用的比赛器材、技术平台和场地要求</w:t>
      </w:r>
    </w:p>
    <w:p w:rsidR="005B6FD7" w:rsidRDefault="008B291F">
      <w:pPr>
        <w:spacing w:line="560" w:lineRule="exact"/>
        <w:ind w:firstLine="600"/>
        <w:rPr>
          <w:rFonts w:ascii="仿宋_GB2312" w:eastAsia="仿宋_GB2312" w:hAnsi="宋体" w:cs="Arial"/>
          <w:kern w:val="0"/>
          <w:sz w:val="30"/>
          <w:szCs w:val="30"/>
        </w:rPr>
      </w:pPr>
      <w:r>
        <w:rPr>
          <w:rFonts w:ascii="仿宋_GB2312" w:eastAsia="仿宋_GB2312" w:hAnsi="宋体" w:cs="Arial" w:hint="eastAsia"/>
          <w:kern w:val="0"/>
          <w:sz w:val="30"/>
          <w:szCs w:val="30"/>
        </w:rPr>
        <w:t>比赛平台为 “企业经营管理沙盘”和“新创业者沙盘系统”相结合的平台，与2017年该赛项的竞赛平台一致。</w:t>
      </w:r>
    </w:p>
    <w:p w:rsidR="005B6FD7" w:rsidRDefault="008B291F">
      <w:pPr>
        <w:spacing w:line="560" w:lineRule="exact"/>
        <w:ind w:firstLine="600"/>
        <w:rPr>
          <w:rFonts w:ascii="仿宋_GB2312" w:eastAsia="仿宋_GB2312" w:hAnsi="宋体" w:cs="Arial"/>
          <w:bCs/>
          <w:kern w:val="0"/>
          <w:sz w:val="30"/>
          <w:szCs w:val="30"/>
        </w:rPr>
      </w:pPr>
      <w:r>
        <w:rPr>
          <w:rFonts w:ascii="仿宋_GB2312" w:eastAsia="仿宋_GB2312" w:hAnsi="宋体" w:cs="Arial" w:hint="eastAsia"/>
          <w:bCs/>
          <w:kern w:val="0"/>
          <w:sz w:val="30"/>
          <w:szCs w:val="30"/>
        </w:rPr>
        <w:t>（一）赛项使用比赛器材：企业经营管理</w:t>
      </w:r>
      <w:proofErr w:type="gramStart"/>
      <w:r>
        <w:rPr>
          <w:rFonts w:ascii="仿宋_GB2312" w:eastAsia="仿宋_GB2312" w:hAnsi="宋体" w:cs="Arial" w:hint="eastAsia"/>
          <w:bCs/>
          <w:kern w:val="0"/>
          <w:sz w:val="30"/>
          <w:szCs w:val="30"/>
        </w:rPr>
        <w:t>沙盘赛具</w:t>
      </w:r>
      <w:proofErr w:type="gramEnd"/>
    </w:p>
    <w:tbl>
      <w:tblPr>
        <w:tblW w:w="8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836"/>
        <w:gridCol w:w="2906"/>
        <w:gridCol w:w="1584"/>
      </w:tblGrid>
      <w:tr w:rsidR="005B6FD7">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
                <w:bCs/>
                <w:color w:val="000000"/>
                <w:sz w:val="24"/>
                <w:szCs w:val="24"/>
              </w:rPr>
            </w:pPr>
            <w:r>
              <w:rPr>
                <w:rFonts w:asciiTheme="minorEastAsia" w:hAnsiTheme="minorEastAsia" w:cstheme="minorEastAsia" w:hint="eastAsia"/>
                <w:b/>
                <w:bCs/>
                <w:color w:val="000000"/>
                <w:sz w:val="24"/>
                <w:szCs w:val="24"/>
              </w:rPr>
              <w:t>物品名称</w:t>
            </w:r>
          </w:p>
        </w:tc>
        <w:tc>
          <w:tcPr>
            <w:tcW w:w="290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
                <w:bCs/>
                <w:color w:val="000000"/>
                <w:sz w:val="24"/>
                <w:szCs w:val="24"/>
              </w:rPr>
            </w:pPr>
            <w:r>
              <w:rPr>
                <w:rFonts w:asciiTheme="minorEastAsia" w:hAnsiTheme="minorEastAsia" w:cstheme="minorEastAsia" w:hint="eastAsia"/>
                <w:b/>
                <w:bCs/>
                <w:color w:val="000000"/>
                <w:sz w:val="24"/>
                <w:szCs w:val="24"/>
              </w:rPr>
              <w:t>单位</w:t>
            </w:r>
          </w:p>
        </w:tc>
        <w:tc>
          <w:tcPr>
            <w:tcW w:w="1584"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
                <w:bCs/>
                <w:color w:val="000000"/>
                <w:sz w:val="24"/>
                <w:szCs w:val="24"/>
              </w:rPr>
            </w:pPr>
            <w:r>
              <w:rPr>
                <w:rFonts w:asciiTheme="minorEastAsia" w:hAnsiTheme="minorEastAsia" w:cstheme="minorEastAsia" w:hint="eastAsia"/>
                <w:b/>
                <w:bCs/>
                <w:color w:val="000000"/>
                <w:sz w:val="24"/>
                <w:szCs w:val="24"/>
              </w:rPr>
              <w:t>材质</w:t>
            </w:r>
          </w:p>
        </w:tc>
      </w:tr>
      <w:tr w:rsidR="005B6FD7">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沙盘</w:t>
            </w:r>
            <w:proofErr w:type="gramStart"/>
            <w:r>
              <w:rPr>
                <w:rFonts w:asciiTheme="minorEastAsia" w:hAnsiTheme="minorEastAsia" w:cstheme="minorEastAsia" w:hint="eastAsia"/>
                <w:bCs/>
                <w:color w:val="000000"/>
                <w:sz w:val="24"/>
                <w:szCs w:val="24"/>
              </w:rPr>
              <w:t>盘</w:t>
            </w:r>
            <w:proofErr w:type="gramEnd"/>
            <w:r>
              <w:rPr>
                <w:rFonts w:asciiTheme="minorEastAsia" w:hAnsiTheme="minorEastAsia" w:cstheme="minorEastAsia" w:hint="eastAsia"/>
                <w:bCs/>
                <w:color w:val="000000"/>
                <w:sz w:val="24"/>
                <w:szCs w:val="24"/>
              </w:rPr>
              <w:t>面</w:t>
            </w:r>
          </w:p>
        </w:tc>
        <w:tc>
          <w:tcPr>
            <w:tcW w:w="290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张</w:t>
            </w:r>
          </w:p>
        </w:tc>
        <w:tc>
          <w:tcPr>
            <w:tcW w:w="1584"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彩喷+</w:t>
            </w:r>
            <w:proofErr w:type="spellStart"/>
            <w:r>
              <w:rPr>
                <w:rFonts w:asciiTheme="minorEastAsia" w:hAnsiTheme="minorEastAsia" w:cstheme="minorEastAsia" w:hint="eastAsia"/>
                <w:bCs/>
                <w:color w:val="000000"/>
                <w:sz w:val="24"/>
                <w:szCs w:val="24"/>
              </w:rPr>
              <w:t>pvc</w:t>
            </w:r>
            <w:proofErr w:type="spellEnd"/>
          </w:p>
        </w:tc>
      </w:tr>
      <w:tr w:rsidR="005B6FD7">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空桶</w:t>
            </w:r>
          </w:p>
        </w:tc>
        <w:tc>
          <w:tcPr>
            <w:tcW w:w="290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proofErr w:type="gramStart"/>
            <w:r>
              <w:rPr>
                <w:rFonts w:asciiTheme="minorEastAsia" w:hAnsiTheme="minorEastAsia" w:cstheme="minorEastAsia" w:hint="eastAsia"/>
                <w:bCs/>
                <w:color w:val="000000"/>
                <w:sz w:val="24"/>
                <w:szCs w:val="24"/>
              </w:rPr>
              <w:t>个</w:t>
            </w:r>
            <w:proofErr w:type="gramEnd"/>
          </w:p>
        </w:tc>
        <w:tc>
          <w:tcPr>
            <w:tcW w:w="1584"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proofErr w:type="spellStart"/>
            <w:r>
              <w:rPr>
                <w:rFonts w:asciiTheme="minorEastAsia" w:hAnsiTheme="minorEastAsia" w:cstheme="minorEastAsia" w:hint="eastAsia"/>
                <w:bCs/>
                <w:color w:val="000000"/>
                <w:sz w:val="24"/>
                <w:szCs w:val="24"/>
              </w:rPr>
              <w:t>ps</w:t>
            </w:r>
            <w:proofErr w:type="spellEnd"/>
          </w:p>
        </w:tc>
      </w:tr>
      <w:tr w:rsidR="005B6FD7">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厂房标识</w:t>
            </w:r>
          </w:p>
        </w:tc>
        <w:tc>
          <w:tcPr>
            <w:tcW w:w="290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proofErr w:type="gramStart"/>
            <w:r>
              <w:rPr>
                <w:rFonts w:asciiTheme="minorEastAsia" w:hAnsiTheme="minorEastAsia" w:cstheme="minorEastAsia" w:hint="eastAsia"/>
                <w:bCs/>
                <w:color w:val="000000"/>
                <w:sz w:val="24"/>
                <w:szCs w:val="24"/>
              </w:rPr>
              <w:t>个</w:t>
            </w:r>
            <w:proofErr w:type="gramEnd"/>
          </w:p>
        </w:tc>
        <w:tc>
          <w:tcPr>
            <w:tcW w:w="1584"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彩喷+</w:t>
            </w:r>
            <w:proofErr w:type="spellStart"/>
            <w:r>
              <w:rPr>
                <w:rFonts w:asciiTheme="minorEastAsia" w:hAnsiTheme="minorEastAsia" w:cstheme="minorEastAsia" w:hint="eastAsia"/>
                <w:bCs/>
                <w:color w:val="000000"/>
                <w:sz w:val="24"/>
                <w:szCs w:val="24"/>
              </w:rPr>
              <w:t>pvc</w:t>
            </w:r>
            <w:proofErr w:type="spellEnd"/>
          </w:p>
        </w:tc>
      </w:tr>
      <w:tr w:rsidR="005B6FD7">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生产线</w:t>
            </w:r>
          </w:p>
        </w:tc>
        <w:tc>
          <w:tcPr>
            <w:tcW w:w="290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张</w:t>
            </w:r>
          </w:p>
        </w:tc>
        <w:tc>
          <w:tcPr>
            <w:tcW w:w="1584"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铜版纸</w:t>
            </w:r>
          </w:p>
        </w:tc>
      </w:tr>
      <w:tr w:rsidR="005B6FD7">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产品标识</w:t>
            </w:r>
          </w:p>
        </w:tc>
        <w:tc>
          <w:tcPr>
            <w:tcW w:w="290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张</w:t>
            </w:r>
          </w:p>
        </w:tc>
        <w:tc>
          <w:tcPr>
            <w:tcW w:w="1584"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铜版纸</w:t>
            </w:r>
          </w:p>
        </w:tc>
      </w:tr>
      <w:tr w:rsidR="005B6FD7">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生产资格证</w:t>
            </w:r>
          </w:p>
        </w:tc>
        <w:tc>
          <w:tcPr>
            <w:tcW w:w="290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张</w:t>
            </w:r>
          </w:p>
        </w:tc>
        <w:tc>
          <w:tcPr>
            <w:tcW w:w="1584"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铜版纸</w:t>
            </w:r>
          </w:p>
        </w:tc>
      </w:tr>
      <w:tr w:rsidR="005B6FD7">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市场准入证</w:t>
            </w:r>
          </w:p>
        </w:tc>
        <w:tc>
          <w:tcPr>
            <w:tcW w:w="290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张</w:t>
            </w:r>
          </w:p>
        </w:tc>
        <w:tc>
          <w:tcPr>
            <w:tcW w:w="1584"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铜版纸</w:t>
            </w:r>
          </w:p>
        </w:tc>
      </w:tr>
      <w:tr w:rsidR="005B6FD7">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ISO资格证书</w:t>
            </w:r>
          </w:p>
        </w:tc>
        <w:tc>
          <w:tcPr>
            <w:tcW w:w="290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张</w:t>
            </w:r>
          </w:p>
        </w:tc>
        <w:tc>
          <w:tcPr>
            <w:tcW w:w="1584"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铜版纸</w:t>
            </w:r>
          </w:p>
        </w:tc>
      </w:tr>
      <w:tr w:rsidR="005B6FD7">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灰色（代表1W）</w:t>
            </w:r>
          </w:p>
        </w:tc>
        <w:tc>
          <w:tcPr>
            <w:tcW w:w="290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枚</w:t>
            </w:r>
          </w:p>
        </w:tc>
        <w:tc>
          <w:tcPr>
            <w:tcW w:w="1584"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proofErr w:type="spellStart"/>
            <w:r>
              <w:rPr>
                <w:rFonts w:asciiTheme="minorEastAsia" w:hAnsiTheme="minorEastAsia" w:cstheme="minorEastAsia" w:hint="eastAsia"/>
                <w:bCs/>
                <w:color w:val="000000"/>
                <w:sz w:val="24"/>
                <w:szCs w:val="24"/>
              </w:rPr>
              <w:t>ps</w:t>
            </w:r>
            <w:proofErr w:type="spellEnd"/>
          </w:p>
        </w:tc>
      </w:tr>
      <w:tr w:rsidR="005B6FD7">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红色R1</w:t>
            </w:r>
          </w:p>
        </w:tc>
        <w:tc>
          <w:tcPr>
            <w:tcW w:w="290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枚</w:t>
            </w:r>
          </w:p>
        </w:tc>
        <w:tc>
          <w:tcPr>
            <w:tcW w:w="1584"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proofErr w:type="spellStart"/>
            <w:r>
              <w:rPr>
                <w:rFonts w:asciiTheme="minorEastAsia" w:hAnsiTheme="minorEastAsia" w:cstheme="minorEastAsia" w:hint="eastAsia"/>
                <w:bCs/>
                <w:color w:val="000000"/>
                <w:sz w:val="24"/>
                <w:szCs w:val="24"/>
              </w:rPr>
              <w:t>ps</w:t>
            </w:r>
            <w:proofErr w:type="spellEnd"/>
          </w:p>
        </w:tc>
      </w:tr>
      <w:tr w:rsidR="005B6FD7">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橙色R2</w:t>
            </w:r>
          </w:p>
        </w:tc>
        <w:tc>
          <w:tcPr>
            <w:tcW w:w="290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枚</w:t>
            </w:r>
          </w:p>
        </w:tc>
        <w:tc>
          <w:tcPr>
            <w:tcW w:w="1584"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proofErr w:type="spellStart"/>
            <w:r>
              <w:rPr>
                <w:rFonts w:asciiTheme="minorEastAsia" w:hAnsiTheme="minorEastAsia" w:cstheme="minorEastAsia" w:hint="eastAsia"/>
                <w:bCs/>
                <w:color w:val="000000"/>
                <w:sz w:val="24"/>
                <w:szCs w:val="24"/>
              </w:rPr>
              <w:t>ps</w:t>
            </w:r>
            <w:proofErr w:type="spellEnd"/>
          </w:p>
        </w:tc>
      </w:tr>
      <w:tr w:rsidR="005B6FD7">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蓝色R3</w:t>
            </w:r>
          </w:p>
        </w:tc>
        <w:tc>
          <w:tcPr>
            <w:tcW w:w="290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枚</w:t>
            </w:r>
          </w:p>
        </w:tc>
        <w:tc>
          <w:tcPr>
            <w:tcW w:w="1584"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proofErr w:type="spellStart"/>
            <w:r>
              <w:rPr>
                <w:rFonts w:asciiTheme="minorEastAsia" w:hAnsiTheme="minorEastAsia" w:cstheme="minorEastAsia" w:hint="eastAsia"/>
                <w:bCs/>
                <w:color w:val="000000"/>
                <w:sz w:val="24"/>
                <w:szCs w:val="24"/>
              </w:rPr>
              <w:t>ps</w:t>
            </w:r>
            <w:proofErr w:type="spellEnd"/>
          </w:p>
        </w:tc>
      </w:tr>
      <w:tr w:rsidR="005B6FD7">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绿色R4</w:t>
            </w:r>
          </w:p>
        </w:tc>
        <w:tc>
          <w:tcPr>
            <w:tcW w:w="290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枚</w:t>
            </w:r>
          </w:p>
        </w:tc>
        <w:tc>
          <w:tcPr>
            <w:tcW w:w="1584"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proofErr w:type="spellStart"/>
            <w:r>
              <w:rPr>
                <w:rFonts w:asciiTheme="minorEastAsia" w:hAnsiTheme="minorEastAsia" w:cstheme="minorEastAsia" w:hint="eastAsia"/>
                <w:bCs/>
                <w:color w:val="000000"/>
                <w:sz w:val="24"/>
                <w:szCs w:val="24"/>
              </w:rPr>
              <w:t>ps</w:t>
            </w:r>
            <w:proofErr w:type="spellEnd"/>
          </w:p>
        </w:tc>
      </w:tr>
      <w:tr w:rsidR="005B6FD7">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包装箱</w:t>
            </w:r>
          </w:p>
        </w:tc>
        <w:tc>
          <w:tcPr>
            <w:tcW w:w="290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proofErr w:type="gramStart"/>
            <w:r>
              <w:rPr>
                <w:rFonts w:asciiTheme="minorEastAsia" w:hAnsiTheme="minorEastAsia" w:cstheme="minorEastAsia" w:hint="eastAsia"/>
                <w:bCs/>
                <w:color w:val="000000"/>
                <w:sz w:val="24"/>
                <w:szCs w:val="24"/>
              </w:rPr>
              <w:t>个</w:t>
            </w:r>
            <w:proofErr w:type="gramEnd"/>
          </w:p>
        </w:tc>
        <w:tc>
          <w:tcPr>
            <w:tcW w:w="1584"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abs</w:t>
            </w:r>
          </w:p>
        </w:tc>
      </w:tr>
      <w:tr w:rsidR="005B6FD7">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包装盒</w:t>
            </w:r>
          </w:p>
        </w:tc>
        <w:tc>
          <w:tcPr>
            <w:tcW w:w="2906"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盒</w:t>
            </w:r>
          </w:p>
        </w:tc>
        <w:tc>
          <w:tcPr>
            <w:tcW w:w="1584" w:type="dxa"/>
            <w:tcBorders>
              <w:top w:val="single" w:sz="4" w:space="0" w:color="auto"/>
              <w:left w:val="single" w:sz="4" w:space="0" w:color="auto"/>
              <w:bottom w:val="single" w:sz="4" w:space="0" w:color="auto"/>
              <w:right w:val="single" w:sz="4" w:space="0" w:color="auto"/>
            </w:tcBorders>
          </w:tcPr>
          <w:p w:rsidR="005B6FD7" w:rsidRDefault="008B291F">
            <w:pPr>
              <w:widowControl/>
              <w:spacing w:before="100" w:beforeAutospacing="1" w:after="100" w:afterAutospacing="1"/>
              <w:jc w:val="cente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纸</w:t>
            </w:r>
          </w:p>
        </w:tc>
      </w:tr>
    </w:tbl>
    <w:p w:rsidR="005B6FD7" w:rsidRDefault="008B291F">
      <w:pPr>
        <w:spacing w:line="560" w:lineRule="exact"/>
        <w:ind w:firstLine="600"/>
        <w:rPr>
          <w:rFonts w:ascii="仿宋_GB2312" w:eastAsia="仿宋_GB2312" w:hAnsi="仿宋_GB2312" w:cs="仿宋_GB2312"/>
          <w:bCs/>
          <w:kern w:val="0"/>
          <w:sz w:val="30"/>
          <w:szCs w:val="30"/>
        </w:rPr>
      </w:pPr>
      <w:r>
        <w:rPr>
          <w:rFonts w:ascii="仿宋_GB2312" w:eastAsia="仿宋_GB2312" w:hAnsi="仿宋_GB2312" w:cs="仿宋_GB2312" w:hint="eastAsia"/>
          <w:bCs/>
          <w:kern w:val="0"/>
          <w:sz w:val="30"/>
          <w:szCs w:val="30"/>
        </w:rPr>
        <w:t>（二）赛项所需的技术平台</w:t>
      </w:r>
    </w:p>
    <w:tbl>
      <w:tblPr>
        <w:tblW w:w="8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872"/>
        <w:gridCol w:w="5454"/>
      </w:tblGrid>
      <w:tr w:rsidR="005B6FD7">
        <w:trPr>
          <w:trHeight w:val="227"/>
        </w:trPr>
        <w:tc>
          <w:tcPr>
            <w:tcW w:w="2872"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center"/>
              <w:rPr>
                <w:rFonts w:ascii="宋体" w:eastAsia="宋体" w:hAnsi="宋体" w:cs="宋体"/>
                <w:b/>
                <w:sz w:val="24"/>
                <w:szCs w:val="24"/>
              </w:rPr>
            </w:pPr>
            <w:r>
              <w:rPr>
                <w:rFonts w:ascii="宋体" w:eastAsia="宋体" w:hAnsi="宋体" w:cs="宋体" w:hint="eastAsia"/>
                <w:b/>
                <w:sz w:val="24"/>
              </w:rPr>
              <w:t>设备及软件名称</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center"/>
              <w:rPr>
                <w:rFonts w:ascii="宋体" w:eastAsia="宋体" w:hAnsi="宋体" w:cs="宋体"/>
                <w:b/>
                <w:sz w:val="24"/>
              </w:rPr>
            </w:pPr>
            <w:r>
              <w:rPr>
                <w:rFonts w:ascii="宋体" w:eastAsia="宋体" w:hAnsi="宋体" w:cs="宋体" w:hint="eastAsia"/>
                <w:b/>
                <w:sz w:val="24"/>
              </w:rPr>
              <w:t>备注</w:t>
            </w:r>
          </w:p>
        </w:tc>
      </w:tr>
      <w:tr w:rsidR="005B6FD7">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left"/>
              <w:rPr>
                <w:rFonts w:ascii="宋体" w:eastAsia="宋体" w:hAnsi="宋体" w:cs="宋体"/>
                <w:sz w:val="24"/>
              </w:rPr>
            </w:pPr>
            <w:r>
              <w:rPr>
                <w:rFonts w:ascii="宋体" w:eastAsia="宋体" w:hAnsi="宋体" w:cs="宋体" w:hint="eastAsia"/>
                <w:sz w:val="24"/>
              </w:rPr>
              <w:t>电子沙盘</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left"/>
              <w:rPr>
                <w:rFonts w:ascii="宋体" w:eastAsia="宋体" w:hAnsi="宋体" w:cs="宋体"/>
                <w:sz w:val="24"/>
              </w:rPr>
            </w:pPr>
            <w:r>
              <w:rPr>
                <w:rFonts w:ascii="宋体" w:eastAsia="宋体" w:hAnsi="宋体" w:cs="宋体" w:hint="eastAsia"/>
                <w:sz w:val="24"/>
              </w:rPr>
              <w:t>新创业者沙盘系统</w:t>
            </w:r>
          </w:p>
        </w:tc>
      </w:tr>
      <w:tr w:rsidR="005B6FD7">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left"/>
              <w:rPr>
                <w:rFonts w:ascii="宋体" w:eastAsia="宋体" w:hAnsi="宋体" w:cs="宋体"/>
                <w:sz w:val="24"/>
              </w:rPr>
            </w:pPr>
            <w:r>
              <w:rPr>
                <w:rFonts w:ascii="宋体" w:eastAsia="宋体" w:hAnsi="宋体" w:cs="宋体" w:hint="eastAsia"/>
                <w:sz w:val="24"/>
              </w:rPr>
              <w:t>支持的数据库及版本</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left"/>
              <w:rPr>
                <w:rFonts w:ascii="宋体" w:eastAsia="宋体" w:hAnsi="宋体" w:cs="宋体"/>
                <w:sz w:val="24"/>
              </w:rPr>
            </w:pPr>
            <w:r>
              <w:rPr>
                <w:rFonts w:ascii="宋体" w:eastAsia="宋体" w:hAnsi="宋体" w:cs="宋体" w:hint="eastAsia"/>
                <w:sz w:val="24"/>
              </w:rPr>
              <w:t>Maria 10.0.14 win32版（产品安装系统自带）</w:t>
            </w:r>
          </w:p>
        </w:tc>
      </w:tr>
      <w:tr w:rsidR="005B6FD7">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left"/>
              <w:rPr>
                <w:rFonts w:ascii="宋体" w:eastAsia="宋体" w:hAnsi="宋体" w:cs="宋体"/>
                <w:sz w:val="24"/>
              </w:rPr>
            </w:pPr>
            <w:proofErr w:type="gramStart"/>
            <w:r>
              <w:rPr>
                <w:rFonts w:ascii="宋体" w:eastAsia="宋体" w:hAnsi="宋体" w:cs="宋体" w:hint="eastAsia"/>
                <w:sz w:val="24"/>
              </w:rPr>
              <w:t>沙盘赛具</w:t>
            </w:r>
            <w:proofErr w:type="gramEnd"/>
          </w:p>
        </w:tc>
        <w:tc>
          <w:tcPr>
            <w:tcW w:w="5454"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left"/>
              <w:rPr>
                <w:rFonts w:ascii="宋体" w:eastAsia="宋体" w:hAnsi="宋体" w:cs="宋体"/>
                <w:sz w:val="24"/>
              </w:rPr>
            </w:pPr>
            <w:r>
              <w:rPr>
                <w:rFonts w:ascii="宋体" w:eastAsia="宋体" w:hAnsi="宋体" w:cs="宋体" w:hint="eastAsia"/>
                <w:sz w:val="24"/>
              </w:rPr>
              <w:t>每支参赛队一套</w:t>
            </w:r>
          </w:p>
        </w:tc>
      </w:tr>
      <w:tr w:rsidR="005B6FD7">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left"/>
              <w:rPr>
                <w:rFonts w:ascii="宋体" w:eastAsia="宋体" w:hAnsi="宋体" w:cs="宋体"/>
                <w:sz w:val="24"/>
              </w:rPr>
            </w:pPr>
            <w:r>
              <w:rPr>
                <w:rFonts w:ascii="宋体" w:eastAsia="宋体" w:hAnsi="宋体" w:cs="宋体" w:hint="eastAsia"/>
                <w:sz w:val="24"/>
              </w:rPr>
              <w:t>服务器</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left"/>
              <w:rPr>
                <w:rFonts w:ascii="宋体" w:eastAsia="宋体" w:hAnsi="宋体" w:cs="宋体"/>
                <w:sz w:val="24"/>
              </w:rPr>
            </w:pPr>
            <w:r>
              <w:rPr>
                <w:rFonts w:ascii="宋体" w:eastAsia="宋体" w:hAnsi="宋体" w:cs="宋体" w:hint="eastAsia"/>
                <w:sz w:val="24"/>
              </w:rPr>
              <w:t>每个赛区两台</w:t>
            </w:r>
          </w:p>
          <w:p w:rsidR="005B6FD7" w:rsidRDefault="008B291F">
            <w:pPr>
              <w:ind w:firstLine="363"/>
              <w:jc w:val="left"/>
              <w:rPr>
                <w:rFonts w:ascii="宋体" w:eastAsia="宋体" w:hAnsi="宋体" w:cs="宋体"/>
                <w:sz w:val="24"/>
              </w:rPr>
            </w:pPr>
            <w:r>
              <w:rPr>
                <w:rFonts w:ascii="宋体" w:eastAsia="宋体" w:hAnsi="宋体" w:cs="宋体" w:hint="eastAsia"/>
                <w:sz w:val="24"/>
              </w:rPr>
              <w:t>配置要求如下：</w:t>
            </w:r>
          </w:p>
          <w:p w:rsidR="005B6FD7" w:rsidRDefault="008B291F">
            <w:pPr>
              <w:ind w:firstLine="363"/>
              <w:jc w:val="left"/>
              <w:rPr>
                <w:rFonts w:ascii="宋体" w:eastAsia="宋体" w:hAnsi="宋体" w:cs="宋体"/>
                <w:sz w:val="24"/>
              </w:rPr>
            </w:pPr>
            <w:r>
              <w:rPr>
                <w:rFonts w:ascii="宋体" w:eastAsia="宋体" w:hAnsi="宋体" w:cs="宋体" w:hint="eastAsia"/>
                <w:sz w:val="24"/>
              </w:rPr>
              <w:t xml:space="preserve">内存：8G DDR3 </w:t>
            </w:r>
          </w:p>
          <w:p w:rsidR="005B6FD7" w:rsidRDefault="008B291F">
            <w:pPr>
              <w:ind w:firstLine="363"/>
              <w:jc w:val="left"/>
              <w:rPr>
                <w:rFonts w:ascii="宋体" w:eastAsia="宋体" w:hAnsi="宋体" w:cs="宋体"/>
                <w:sz w:val="24"/>
              </w:rPr>
            </w:pPr>
            <w:r>
              <w:rPr>
                <w:rFonts w:ascii="宋体" w:eastAsia="宋体" w:hAnsi="宋体" w:cs="宋体" w:hint="eastAsia"/>
                <w:sz w:val="24"/>
              </w:rPr>
              <w:t>硬盘：180G</w:t>
            </w:r>
          </w:p>
          <w:p w:rsidR="005B6FD7" w:rsidRDefault="008B291F">
            <w:pPr>
              <w:ind w:firstLine="363"/>
              <w:jc w:val="left"/>
              <w:rPr>
                <w:rFonts w:ascii="宋体" w:eastAsia="宋体" w:hAnsi="宋体" w:cs="宋体"/>
                <w:sz w:val="24"/>
              </w:rPr>
            </w:pPr>
            <w:r>
              <w:rPr>
                <w:rFonts w:ascii="宋体" w:eastAsia="宋体" w:hAnsi="宋体" w:cs="宋体" w:hint="eastAsia"/>
                <w:sz w:val="24"/>
              </w:rPr>
              <w:t>CPU：四核</w:t>
            </w:r>
          </w:p>
          <w:p w:rsidR="005B6FD7" w:rsidRDefault="008B291F">
            <w:pPr>
              <w:ind w:firstLine="363"/>
              <w:jc w:val="left"/>
              <w:rPr>
                <w:rFonts w:ascii="宋体" w:eastAsia="宋体" w:hAnsi="宋体" w:cs="宋体"/>
                <w:sz w:val="24"/>
              </w:rPr>
            </w:pPr>
            <w:r>
              <w:rPr>
                <w:rFonts w:ascii="宋体" w:eastAsia="宋体" w:hAnsi="宋体" w:cs="宋体" w:hint="eastAsia"/>
                <w:sz w:val="24"/>
              </w:rPr>
              <w:t>操作系统：win7 64位/Windows server 2008r2 64位</w:t>
            </w:r>
          </w:p>
        </w:tc>
      </w:tr>
      <w:tr w:rsidR="005B6FD7">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left"/>
              <w:rPr>
                <w:rFonts w:ascii="宋体" w:eastAsia="宋体" w:hAnsi="宋体" w:cs="宋体"/>
                <w:sz w:val="24"/>
              </w:rPr>
            </w:pPr>
            <w:r>
              <w:rPr>
                <w:rFonts w:ascii="宋体" w:eastAsia="宋体" w:hAnsi="宋体" w:cs="宋体" w:hint="eastAsia"/>
                <w:sz w:val="24"/>
              </w:rPr>
              <w:lastRenderedPageBreak/>
              <w:t>计算机</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left"/>
              <w:rPr>
                <w:rFonts w:ascii="宋体" w:eastAsia="宋体" w:hAnsi="宋体" w:cs="宋体"/>
                <w:sz w:val="24"/>
              </w:rPr>
            </w:pPr>
            <w:r>
              <w:rPr>
                <w:rFonts w:ascii="宋体" w:eastAsia="宋体" w:hAnsi="宋体" w:cs="宋体" w:hint="eastAsia"/>
                <w:sz w:val="24"/>
              </w:rPr>
              <w:t>每支参赛队两台（每个赛区备用10%计算机）</w:t>
            </w:r>
          </w:p>
        </w:tc>
      </w:tr>
      <w:tr w:rsidR="005B6FD7">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rPr>
                <w:rFonts w:ascii="宋体" w:eastAsia="宋体" w:hAnsi="宋体" w:cs="宋体"/>
                <w:sz w:val="24"/>
              </w:rPr>
            </w:pPr>
            <w:r>
              <w:rPr>
                <w:rFonts w:ascii="宋体" w:eastAsia="宋体" w:hAnsi="宋体" w:cs="宋体" w:hint="eastAsia"/>
                <w:sz w:val="24"/>
              </w:rPr>
              <w:t>支持的操作系统及版本</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left"/>
              <w:rPr>
                <w:rFonts w:ascii="宋体" w:eastAsia="宋体" w:hAnsi="宋体" w:cs="宋体"/>
                <w:sz w:val="24"/>
              </w:rPr>
            </w:pPr>
            <w:proofErr w:type="spellStart"/>
            <w:r>
              <w:rPr>
                <w:rFonts w:ascii="宋体" w:eastAsia="宋体" w:hAnsi="宋体" w:cs="宋体" w:hint="eastAsia"/>
                <w:sz w:val="24"/>
              </w:rPr>
              <w:t>Windowsxp</w:t>
            </w:r>
            <w:proofErr w:type="spellEnd"/>
            <w:r>
              <w:rPr>
                <w:rFonts w:ascii="宋体" w:eastAsia="宋体" w:hAnsi="宋体" w:cs="宋体" w:hint="eastAsia"/>
                <w:sz w:val="24"/>
              </w:rPr>
              <w:t xml:space="preserve"> SP3 32位</w:t>
            </w:r>
          </w:p>
          <w:p w:rsidR="005B6FD7" w:rsidRDefault="008B291F">
            <w:pPr>
              <w:ind w:firstLine="363"/>
              <w:jc w:val="left"/>
              <w:rPr>
                <w:rFonts w:ascii="宋体" w:eastAsia="宋体" w:hAnsi="宋体" w:cs="宋体"/>
                <w:sz w:val="24"/>
              </w:rPr>
            </w:pPr>
            <w:r>
              <w:rPr>
                <w:rFonts w:ascii="宋体" w:eastAsia="宋体" w:hAnsi="宋体" w:cs="宋体" w:hint="eastAsia"/>
                <w:sz w:val="24"/>
              </w:rPr>
              <w:t>Windows server 2003 32位/64位</w:t>
            </w:r>
          </w:p>
          <w:p w:rsidR="005B6FD7" w:rsidRDefault="008B291F">
            <w:pPr>
              <w:ind w:firstLine="363"/>
              <w:jc w:val="left"/>
              <w:rPr>
                <w:rFonts w:ascii="宋体" w:eastAsia="宋体" w:hAnsi="宋体" w:cs="宋体"/>
                <w:sz w:val="24"/>
              </w:rPr>
            </w:pPr>
            <w:r>
              <w:rPr>
                <w:rFonts w:ascii="宋体" w:eastAsia="宋体" w:hAnsi="宋体" w:cs="宋体" w:hint="eastAsia"/>
                <w:sz w:val="24"/>
              </w:rPr>
              <w:t>Windows server 2003 R2 32位/64位</w:t>
            </w:r>
          </w:p>
          <w:p w:rsidR="005B6FD7" w:rsidRDefault="008B291F">
            <w:pPr>
              <w:ind w:firstLine="363"/>
              <w:jc w:val="left"/>
              <w:rPr>
                <w:rFonts w:ascii="宋体" w:eastAsia="宋体" w:hAnsi="宋体" w:cs="宋体"/>
                <w:sz w:val="24"/>
              </w:rPr>
            </w:pPr>
            <w:r>
              <w:rPr>
                <w:rFonts w:ascii="宋体" w:eastAsia="宋体" w:hAnsi="宋体" w:cs="宋体" w:hint="eastAsia"/>
                <w:sz w:val="24"/>
              </w:rPr>
              <w:t>Windows server 2008 32位/64位</w:t>
            </w:r>
          </w:p>
          <w:p w:rsidR="005B6FD7" w:rsidRDefault="008B291F">
            <w:pPr>
              <w:ind w:firstLine="363"/>
              <w:jc w:val="left"/>
              <w:rPr>
                <w:rFonts w:ascii="宋体" w:eastAsia="宋体" w:hAnsi="宋体" w:cs="宋体"/>
                <w:sz w:val="24"/>
              </w:rPr>
            </w:pPr>
            <w:r>
              <w:rPr>
                <w:rFonts w:ascii="宋体" w:eastAsia="宋体" w:hAnsi="宋体" w:cs="宋体" w:hint="eastAsia"/>
                <w:sz w:val="24"/>
              </w:rPr>
              <w:t>Windows server 2008 R2 32位/64位</w:t>
            </w:r>
          </w:p>
          <w:p w:rsidR="005B6FD7" w:rsidRDefault="008B291F">
            <w:pPr>
              <w:ind w:firstLine="363"/>
              <w:jc w:val="left"/>
              <w:rPr>
                <w:rFonts w:ascii="宋体" w:eastAsia="宋体" w:hAnsi="宋体" w:cs="宋体"/>
                <w:sz w:val="24"/>
              </w:rPr>
            </w:pPr>
            <w:r>
              <w:rPr>
                <w:rFonts w:ascii="宋体" w:eastAsia="宋体" w:hAnsi="宋体" w:cs="宋体" w:hint="eastAsia"/>
                <w:sz w:val="24"/>
              </w:rPr>
              <w:t>Windows server 2012 64位</w:t>
            </w:r>
          </w:p>
          <w:p w:rsidR="005B6FD7" w:rsidRDefault="008B291F">
            <w:pPr>
              <w:ind w:firstLine="363"/>
              <w:jc w:val="left"/>
              <w:rPr>
                <w:rFonts w:ascii="宋体" w:eastAsia="宋体" w:hAnsi="宋体" w:cs="宋体"/>
                <w:sz w:val="24"/>
              </w:rPr>
            </w:pPr>
            <w:r>
              <w:rPr>
                <w:rFonts w:ascii="宋体" w:eastAsia="宋体" w:hAnsi="宋体" w:cs="宋体" w:hint="eastAsia"/>
                <w:sz w:val="24"/>
              </w:rPr>
              <w:t>Win7/XP/Win2003</w:t>
            </w:r>
          </w:p>
        </w:tc>
      </w:tr>
      <w:tr w:rsidR="005B6FD7">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left"/>
              <w:rPr>
                <w:rFonts w:ascii="宋体" w:eastAsia="宋体" w:hAnsi="宋体" w:cs="宋体"/>
                <w:sz w:val="24"/>
              </w:rPr>
            </w:pPr>
            <w:r>
              <w:rPr>
                <w:rFonts w:ascii="宋体" w:eastAsia="宋体" w:hAnsi="宋体" w:cs="宋体" w:hint="eastAsia"/>
                <w:sz w:val="24"/>
              </w:rPr>
              <w:t>电源插排</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rPr>
                <w:rFonts w:ascii="宋体" w:eastAsia="宋体" w:hAnsi="宋体" w:cs="宋体"/>
                <w:sz w:val="24"/>
              </w:rPr>
            </w:pPr>
            <w:r>
              <w:rPr>
                <w:rFonts w:ascii="宋体" w:eastAsia="宋体" w:hAnsi="宋体" w:cs="宋体" w:hint="eastAsia"/>
                <w:sz w:val="24"/>
              </w:rPr>
              <w:t>每支参赛队一个</w:t>
            </w:r>
          </w:p>
        </w:tc>
      </w:tr>
      <w:tr w:rsidR="005B6FD7">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left"/>
              <w:rPr>
                <w:rFonts w:ascii="宋体" w:eastAsia="宋体" w:hAnsi="宋体" w:cs="宋体"/>
                <w:sz w:val="24"/>
              </w:rPr>
            </w:pPr>
            <w:r>
              <w:rPr>
                <w:rFonts w:ascii="宋体" w:eastAsia="宋体" w:hAnsi="宋体" w:cs="宋体" w:hint="eastAsia"/>
                <w:sz w:val="24"/>
              </w:rPr>
              <w:t>UPS不间断电源</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rPr>
                <w:rFonts w:ascii="宋体" w:eastAsia="宋体" w:hAnsi="宋体" w:cs="宋体"/>
                <w:sz w:val="24"/>
              </w:rPr>
            </w:pPr>
            <w:r>
              <w:rPr>
                <w:rFonts w:ascii="宋体" w:eastAsia="宋体" w:hAnsi="宋体" w:cs="宋体" w:hint="eastAsia"/>
                <w:sz w:val="24"/>
              </w:rPr>
              <w:t>每个赛区一个，确保服务器及交换机</w:t>
            </w:r>
            <w:proofErr w:type="gramStart"/>
            <w:r>
              <w:rPr>
                <w:rFonts w:ascii="宋体" w:eastAsia="宋体" w:hAnsi="宋体" w:cs="宋体" w:hint="eastAsia"/>
                <w:sz w:val="24"/>
              </w:rPr>
              <w:t>不</w:t>
            </w:r>
            <w:proofErr w:type="gramEnd"/>
            <w:r>
              <w:rPr>
                <w:rFonts w:ascii="宋体" w:eastAsia="宋体" w:hAnsi="宋体" w:cs="宋体" w:hint="eastAsia"/>
                <w:sz w:val="24"/>
              </w:rPr>
              <w:t>断电</w:t>
            </w:r>
          </w:p>
        </w:tc>
      </w:tr>
      <w:tr w:rsidR="005B6FD7">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left"/>
              <w:rPr>
                <w:rFonts w:ascii="宋体" w:eastAsia="宋体" w:hAnsi="宋体" w:cs="宋体"/>
                <w:sz w:val="24"/>
              </w:rPr>
            </w:pPr>
            <w:r>
              <w:rPr>
                <w:rFonts w:ascii="宋体" w:eastAsia="宋体" w:hAnsi="宋体" w:cs="宋体" w:hint="eastAsia"/>
                <w:sz w:val="24"/>
              </w:rPr>
              <w:t>交换机</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rPr>
                <w:rFonts w:ascii="宋体" w:eastAsia="宋体" w:hAnsi="宋体" w:cs="宋体"/>
                <w:sz w:val="24"/>
              </w:rPr>
            </w:pPr>
            <w:r>
              <w:rPr>
                <w:rFonts w:ascii="宋体" w:eastAsia="宋体" w:hAnsi="宋体" w:cs="宋体" w:hint="eastAsia"/>
                <w:sz w:val="24"/>
              </w:rPr>
              <w:t>每个赛区3台</w:t>
            </w:r>
          </w:p>
          <w:p w:rsidR="005B6FD7" w:rsidRDefault="008B291F">
            <w:pPr>
              <w:ind w:firstLine="363"/>
              <w:rPr>
                <w:rFonts w:ascii="宋体" w:eastAsia="宋体" w:hAnsi="宋体" w:cs="宋体"/>
                <w:sz w:val="24"/>
              </w:rPr>
            </w:pPr>
            <w:r>
              <w:rPr>
                <w:rFonts w:ascii="宋体" w:eastAsia="宋体" w:hAnsi="宋体" w:cs="宋体" w:hint="eastAsia"/>
                <w:sz w:val="24"/>
              </w:rPr>
              <w:t>配置要求如下：</w:t>
            </w:r>
          </w:p>
          <w:p w:rsidR="005B6FD7" w:rsidRDefault="008B291F">
            <w:pPr>
              <w:ind w:firstLine="363"/>
              <w:rPr>
                <w:rFonts w:ascii="宋体" w:eastAsia="宋体" w:hAnsi="宋体" w:cs="宋体"/>
                <w:sz w:val="24"/>
              </w:rPr>
            </w:pPr>
            <w:r>
              <w:rPr>
                <w:rFonts w:ascii="宋体" w:eastAsia="宋体" w:hAnsi="宋体" w:cs="宋体" w:hint="eastAsia"/>
                <w:sz w:val="24"/>
              </w:rPr>
              <w:t>速度：1000Mbps</w:t>
            </w:r>
          </w:p>
          <w:p w:rsidR="005B6FD7" w:rsidRDefault="008B291F">
            <w:pPr>
              <w:ind w:firstLine="363"/>
              <w:rPr>
                <w:rFonts w:ascii="宋体" w:eastAsia="宋体" w:hAnsi="宋体" w:cs="宋体"/>
                <w:sz w:val="24"/>
              </w:rPr>
            </w:pPr>
            <w:r>
              <w:rPr>
                <w:rFonts w:ascii="宋体" w:eastAsia="宋体" w:hAnsi="宋体" w:cs="宋体" w:hint="eastAsia"/>
                <w:sz w:val="24"/>
              </w:rPr>
              <w:t>接口数：24</w:t>
            </w:r>
          </w:p>
        </w:tc>
      </w:tr>
      <w:tr w:rsidR="005B6FD7">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jc w:val="left"/>
              <w:rPr>
                <w:rFonts w:ascii="宋体" w:eastAsia="宋体" w:hAnsi="宋体" w:cs="宋体"/>
                <w:sz w:val="24"/>
              </w:rPr>
            </w:pPr>
            <w:r>
              <w:rPr>
                <w:rFonts w:ascii="宋体" w:eastAsia="宋体" w:hAnsi="宋体" w:cs="宋体" w:hint="eastAsia"/>
                <w:sz w:val="24"/>
              </w:rPr>
              <w:t>网线</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Default="008B291F">
            <w:pPr>
              <w:ind w:firstLine="363"/>
              <w:rPr>
                <w:rFonts w:ascii="宋体" w:eastAsia="宋体" w:hAnsi="宋体" w:cs="宋体"/>
                <w:sz w:val="24"/>
              </w:rPr>
            </w:pPr>
            <w:r>
              <w:rPr>
                <w:rFonts w:ascii="宋体" w:eastAsia="宋体" w:hAnsi="宋体" w:cs="宋体" w:hint="eastAsia"/>
                <w:sz w:val="24"/>
              </w:rPr>
              <w:t>每支参赛队两条</w:t>
            </w:r>
          </w:p>
        </w:tc>
      </w:tr>
    </w:tbl>
    <w:p w:rsidR="005B6FD7" w:rsidRDefault="008B291F">
      <w:pPr>
        <w:snapToGrid w:val="0"/>
        <w:spacing w:line="560" w:lineRule="exact"/>
        <w:ind w:firstLineChars="300" w:firstLine="9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1.平台与赛项内容的结合</w:t>
      </w:r>
    </w:p>
    <w:p w:rsidR="005B6FD7"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大赛平台涉及内容与企业经营紧密连接，平台中共设置4个岗位，包括首席执行官、财务总监、运营总监、销售总监。平台所涉及技能为财经商贸类工作所使用技能，如现金记账，生产计划安排、销售管理等。能较好的考验学生对技能的掌握程度及对企业运营的了解程度。</w:t>
      </w:r>
    </w:p>
    <w:p w:rsidR="005B6FD7" w:rsidRDefault="008B291F">
      <w:pPr>
        <w:snapToGrid w:val="0"/>
        <w:spacing w:line="560" w:lineRule="exact"/>
        <w:ind w:firstLineChars="300" w:firstLine="9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2.平台与赛项评分的结合</w:t>
      </w:r>
    </w:p>
    <w:p w:rsidR="005B6FD7"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大赛评分结果均由系统内置评分功能模块展示，并且由系统提供相应报表数据，保证大赛的公平公正进行。</w:t>
      </w:r>
    </w:p>
    <w:p w:rsidR="005B6FD7" w:rsidRDefault="008B291F">
      <w:pPr>
        <w:snapToGrid w:val="0"/>
        <w:spacing w:line="560" w:lineRule="exact"/>
        <w:ind w:left="182" w:firstLine="42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（三）竞赛赛场环境、</w:t>
      </w:r>
      <w:proofErr w:type="gramStart"/>
      <w:r>
        <w:rPr>
          <w:rFonts w:ascii="仿宋_GB2312" w:eastAsia="仿宋_GB2312" w:hAnsi="仿宋_GB2312" w:cs="仿宋_GB2312" w:hint="eastAsia"/>
          <w:kern w:val="0"/>
          <w:sz w:val="30"/>
          <w:szCs w:val="30"/>
        </w:rPr>
        <w:t>赛位设置</w:t>
      </w:r>
      <w:proofErr w:type="gramEnd"/>
      <w:r>
        <w:rPr>
          <w:rFonts w:ascii="仿宋_GB2312" w:eastAsia="仿宋_GB2312" w:hAnsi="仿宋_GB2312" w:cs="仿宋_GB2312" w:hint="eastAsia"/>
          <w:kern w:val="0"/>
          <w:sz w:val="30"/>
          <w:szCs w:val="30"/>
        </w:rPr>
        <w:t>、</w:t>
      </w:r>
      <w:proofErr w:type="gramStart"/>
      <w:r>
        <w:rPr>
          <w:rFonts w:ascii="仿宋_GB2312" w:eastAsia="仿宋_GB2312" w:hAnsi="仿宋_GB2312" w:cs="仿宋_GB2312" w:hint="eastAsia"/>
          <w:kern w:val="0"/>
          <w:sz w:val="30"/>
          <w:szCs w:val="30"/>
        </w:rPr>
        <w:t>单位赛位</w:t>
      </w:r>
      <w:proofErr w:type="gramEnd"/>
      <w:r>
        <w:rPr>
          <w:rFonts w:ascii="仿宋_GB2312" w:eastAsia="仿宋_GB2312" w:hAnsi="仿宋_GB2312" w:cs="仿宋_GB2312" w:hint="eastAsia"/>
          <w:kern w:val="0"/>
          <w:sz w:val="30"/>
          <w:szCs w:val="30"/>
        </w:rPr>
        <w:t>大小、安全防范措施</w:t>
      </w:r>
    </w:p>
    <w:p w:rsidR="005B6FD7"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1.赛场环境</w:t>
      </w:r>
    </w:p>
    <w:p w:rsidR="005B6FD7"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光线、通风良好，温湿度适宜。自然通风达不到要求的情况下，应采取强制通风，人员密度较高的情况下，确保赛场环境适宜。</w:t>
      </w:r>
    </w:p>
    <w:p w:rsidR="005B6FD7"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2.</w:t>
      </w:r>
      <w:proofErr w:type="gramStart"/>
      <w:r>
        <w:rPr>
          <w:rFonts w:ascii="仿宋_GB2312" w:eastAsia="仿宋_GB2312" w:hAnsi="仿宋_GB2312" w:cs="仿宋_GB2312" w:hint="eastAsia"/>
          <w:kern w:val="0"/>
          <w:sz w:val="30"/>
          <w:szCs w:val="30"/>
        </w:rPr>
        <w:t>赛位设置</w:t>
      </w:r>
      <w:proofErr w:type="gramEnd"/>
    </w:p>
    <w:p w:rsidR="005B6FD7"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lastRenderedPageBreak/>
        <w:t>采取必要的物理性隔离，确保互不干扰，并配备有稳定的水、电、气源和应急供电设备，设置消防逃生通道。</w:t>
      </w:r>
    </w:p>
    <w:p w:rsidR="005B6FD7"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3.</w:t>
      </w:r>
      <w:proofErr w:type="gramStart"/>
      <w:r>
        <w:rPr>
          <w:rFonts w:ascii="仿宋_GB2312" w:eastAsia="仿宋_GB2312" w:hAnsi="仿宋_GB2312" w:cs="仿宋_GB2312" w:hint="eastAsia"/>
          <w:kern w:val="0"/>
          <w:sz w:val="30"/>
          <w:szCs w:val="30"/>
        </w:rPr>
        <w:t>赛位大小</w:t>
      </w:r>
      <w:proofErr w:type="gramEnd"/>
    </w:p>
    <w:p w:rsidR="005B6FD7" w:rsidRDefault="008B291F">
      <w:pPr>
        <w:snapToGrid w:val="0"/>
        <w:spacing w:line="560" w:lineRule="exact"/>
        <w:ind w:firstLineChars="300" w:firstLine="900"/>
        <w:jc w:val="left"/>
        <w:rPr>
          <w:rFonts w:ascii="仿宋_GB2312" w:eastAsia="仿宋_GB2312" w:hAnsi="仿宋_GB2312" w:cs="仿宋_GB2312"/>
          <w:kern w:val="0"/>
          <w:sz w:val="30"/>
          <w:szCs w:val="30"/>
        </w:rPr>
      </w:pPr>
      <w:proofErr w:type="gramStart"/>
      <w:r>
        <w:rPr>
          <w:rFonts w:ascii="仿宋_GB2312" w:eastAsia="仿宋_GB2312" w:hAnsi="仿宋_GB2312" w:cs="仿宋_GB2312" w:hint="eastAsia"/>
          <w:kern w:val="0"/>
          <w:sz w:val="30"/>
          <w:szCs w:val="30"/>
        </w:rPr>
        <w:t>每个赛位大小</w:t>
      </w:r>
      <w:proofErr w:type="gramEnd"/>
      <w:r>
        <w:rPr>
          <w:rFonts w:ascii="仿宋_GB2312" w:eastAsia="仿宋_GB2312" w:hAnsi="仿宋_GB2312" w:cs="仿宋_GB2312" w:hint="eastAsia"/>
          <w:kern w:val="0"/>
          <w:sz w:val="30"/>
          <w:szCs w:val="30"/>
        </w:rPr>
        <w:t>为15㎡。</w:t>
      </w:r>
    </w:p>
    <w:p w:rsidR="005B6FD7" w:rsidRDefault="008B291F">
      <w:pPr>
        <w:snapToGrid w:val="0"/>
        <w:spacing w:line="560" w:lineRule="exact"/>
        <w:ind w:firstLineChars="300" w:firstLine="9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赛场示意图如下：</w:t>
      </w:r>
    </w:p>
    <w:p w:rsidR="005B6FD7" w:rsidRDefault="008B291F">
      <w:pPr>
        <w:snapToGrid w:val="0"/>
        <w:ind w:firstLineChars="300" w:firstLine="900"/>
        <w:jc w:val="left"/>
        <w:rPr>
          <w:rFonts w:ascii="仿宋" w:eastAsia="仿宋" w:hAnsi="仿宋"/>
          <w:sz w:val="32"/>
          <w:szCs w:val="32"/>
        </w:rPr>
      </w:pPr>
      <w:r>
        <w:rPr>
          <w:rFonts w:ascii="仿宋" w:eastAsia="仿宋" w:hAnsi="仿宋" w:cs="Arial" w:hint="eastAsia"/>
          <w:noProof/>
          <w:kern w:val="0"/>
          <w:sz w:val="30"/>
          <w:szCs w:val="30"/>
        </w:rPr>
        <w:drawing>
          <wp:inline distT="0" distB="0" distL="114300" distR="114300">
            <wp:extent cx="3561715" cy="4161790"/>
            <wp:effectExtent l="0" t="0" r="635" b="10160"/>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0"/>
                    <a:stretch>
                      <a:fillRect/>
                    </a:stretch>
                  </pic:blipFill>
                  <pic:spPr>
                    <a:xfrm>
                      <a:off x="0" y="0"/>
                      <a:ext cx="3561715" cy="4161790"/>
                    </a:xfrm>
                    <a:prstGeom prst="rect">
                      <a:avLst/>
                    </a:prstGeom>
                  </pic:spPr>
                </pic:pic>
              </a:graphicData>
            </a:graphic>
          </wp:inline>
        </w:drawing>
      </w:r>
    </w:p>
    <w:p w:rsidR="005B6FD7"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4.安全防范措施</w:t>
      </w:r>
    </w:p>
    <w:p w:rsidR="005B6FD7"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设置安全通道和警戒线，确保进入赛场的大赛参观、采访、视察的人员限定在安全区域内活动，以保证大赛安全有序进行。</w:t>
      </w:r>
    </w:p>
    <w:p w:rsidR="005B6FD7" w:rsidRDefault="008B291F">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十四、安全保障</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（一）设置比赛安全保障组，负责所有技术安全检查、监督和保障工作，保障大赛安全平稳进行。</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（二）成立比赛设备保障组，负责软硬件设备的安装、调试和维护。</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（三）成立场地设施保障组，负责比赛场地的布置、清理和秩序维护。</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（四）成立安全保卫组，每一赛场制定一名安全责任人，对本赛场的安全负全责，在发生意外情况时负责调集救援队伍和专业救援人员，安排场内人员疏散。</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（五）比赛设备和设施安装严格按照安全施工标准施工，电源布线、电器</w:t>
      </w:r>
      <w:proofErr w:type="gramStart"/>
      <w:r>
        <w:rPr>
          <w:rFonts w:ascii="仿宋_GB2312" w:eastAsia="仿宋_GB2312" w:hAnsi="仿宋_GB2312" w:cs="仿宋_GB2312" w:hint="eastAsia"/>
          <w:sz w:val="30"/>
          <w:szCs w:val="30"/>
        </w:rPr>
        <w:t>安装按</w:t>
      </w:r>
      <w:proofErr w:type="gramEnd"/>
      <w:r>
        <w:rPr>
          <w:rFonts w:ascii="仿宋_GB2312" w:eastAsia="仿宋_GB2312" w:hAnsi="仿宋_GB2312" w:cs="仿宋_GB2312" w:hint="eastAsia"/>
          <w:sz w:val="30"/>
          <w:szCs w:val="30"/>
        </w:rPr>
        <w:t>规范施工。</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（六）按防火安全要求安置灭火器，并指定责任人在紧急时候使用。</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（七）制定突发安全事故应急预案，成立大赛突发安全事故应急领导小组，制定各类突发事故的应对措施，做好各种突发安全事故的预防和紧急处理。</w:t>
      </w:r>
    </w:p>
    <w:p w:rsidR="005B6FD7" w:rsidRDefault="008B291F">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十五、经费概算</w:t>
      </w:r>
    </w:p>
    <w:p w:rsidR="005B6FD7" w:rsidRDefault="008B291F">
      <w:pPr>
        <w:snapToGrid w:val="0"/>
        <w:spacing w:line="560" w:lineRule="exact"/>
        <w:ind w:firstLineChars="200" w:firstLine="6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经费预算：80万元</w:t>
      </w:r>
    </w:p>
    <w:tbl>
      <w:tblPr>
        <w:tblW w:w="7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261"/>
        <w:gridCol w:w="3218"/>
      </w:tblGrid>
      <w:tr w:rsidR="005B6FD7">
        <w:trPr>
          <w:trHeight w:val="283"/>
          <w:jc w:val="center"/>
        </w:trPr>
        <w:tc>
          <w:tcPr>
            <w:tcW w:w="4261" w:type="dxa"/>
            <w:vAlign w:val="center"/>
          </w:tcPr>
          <w:p w:rsidR="005B6FD7" w:rsidRDefault="008B291F">
            <w:pPr>
              <w:widowControl/>
              <w:jc w:val="center"/>
              <w:rPr>
                <w:rFonts w:asciiTheme="minorEastAsia" w:hAnsiTheme="minorEastAsia" w:cs="宋体"/>
                <w:b/>
                <w:bCs/>
                <w:kern w:val="0"/>
                <w:sz w:val="24"/>
                <w:szCs w:val="24"/>
              </w:rPr>
            </w:pPr>
            <w:r>
              <w:rPr>
                <w:rFonts w:asciiTheme="minorEastAsia" w:hAnsiTheme="minorEastAsia" w:cs="宋体" w:hint="eastAsia"/>
                <w:b/>
                <w:bCs/>
                <w:kern w:val="0"/>
                <w:sz w:val="24"/>
                <w:szCs w:val="24"/>
              </w:rPr>
              <w:t>项目</w:t>
            </w:r>
          </w:p>
        </w:tc>
        <w:tc>
          <w:tcPr>
            <w:tcW w:w="3218" w:type="dxa"/>
            <w:vAlign w:val="center"/>
          </w:tcPr>
          <w:p w:rsidR="005B6FD7" w:rsidRDefault="008B291F">
            <w:pPr>
              <w:widowControl/>
              <w:jc w:val="center"/>
              <w:rPr>
                <w:rFonts w:asciiTheme="minorEastAsia" w:hAnsiTheme="minorEastAsia" w:cs="宋体"/>
                <w:b/>
                <w:bCs/>
                <w:kern w:val="0"/>
                <w:sz w:val="24"/>
                <w:szCs w:val="24"/>
              </w:rPr>
            </w:pPr>
            <w:r>
              <w:rPr>
                <w:rFonts w:asciiTheme="minorEastAsia" w:hAnsiTheme="minorEastAsia" w:cs="宋体" w:hint="eastAsia"/>
                <w:b/>
                <w:bCs/>
                <w:kern w:val="0"/>
                <w:sz w:val="24"/>
                <w:szCs w:val="24"/>
              </w:rPr>
              <w:t>费用</w:t>
            </w:r>
          </w:p>
        </w:tc>
      </w:tr>
      <w:tr w:rsidR="005B6FD7">
        <w:trPr>
          <w:trHeight w:val="283"/>
          <w:jc w:val="center"/>
        </w:trPr>
        <w:tc>
          <w:tcPr>
            <w:tcW w:w="4261" w:type="dxa"/>
            <w:vAlign w:val="center"/>
          </w:tcPr>
          <w:p w:rsidR="005B6FD7" w:rsidRDefault="008B291F">
            <w:pPr>
              <w:widowControl/>
              <w:jc w:val="center"/>
              <w:rPr>
                <w:rFonts w:asciiTheme="minorEastAsia" w:hAnsiTheme="minorEastAsia" w:cs="宋体"/>
                <w:bCs/>
                <w:kern w:val="0"/>
                <w:sz w:val="24"/>
                <w:szCs w:val="24"/>
              </w:rPr>
            </w:pPr>
            <w:r>
              <w:rPr>
                <w:rFonts w:asciiTheme="minorEastAsia" w:hAnsiTheme="minorEastAsia" w:cs="宋体" w:hint="eastAsia"/>
                <w:bCs/>
                <w:kern w:val="0"/>
                <w:sz w:val="24"/>
                <w:szCs w:val="24"/>
              </w:rPr>
              <w:t>会务及场地等费</w:t>
            </w:r>
          </w:p>
        </w:tc>
        <w:tc>
          <w:tcPr>
            <w:tcW w:w="3218" w:type="dxa"/>
            <w:vAlign w:val="center"/>
          </w:tcPr>
          <w:p w:rsidR="005B6FD7" w:rsidRDefault="008B291F">
            <w:pPr>
              <w:widowControl/>
              <w:jc w:val="center"/>
              <w:rPr>
                <w:rFonts w:asciiTheme="minorEastAsia" w:hAnsiTheme="minorEastAsia" w:cs="宋体"/>
                <w:bCs/>
                <w:kern w:val="0"/>
                <w:sz w:val="24"/>
                <w:szCs w:val="24"/>
              </w:rPr>
            </w:pPr>
            <w:r>
              <w:rPr>
                <w:rFonts w:asciiTheme="minorEastAsia" w:hAnsiTheme="minorEastAsia" w:cs="宋体" w:hint="eastAsia"/>
                <w:bCs/>
                <w:kern w:val="0"/>
                <w:sz w:val="24"/>
                <w:szCs w:val="24"/>
              </w:rPr>
              <w:t>40万元</w:t>
            </w:r>
          </w:p>
        </w:tc>
      </w:tr>
      <w:tr w:rsidR="005B6FD7">
        <w:trPr>
          <w:trHeight w:val="283"/>
          <w:jc w:val="center"/>
        </w:trPr>
        <w:tc>
          <w:tcPr>
            <w:tcW w:w="4261" w:type="dxa"/>
            <w:vAlign w:val="center"/>
          </w:tcPr>
          <w:p w:rsidR="005B6FD7" w:rsidRDefault="008B291F">
            <w:pPr>
              <w:widowControl/>
              <w:jc w:val="center"/>
              <w:rPr>
                <w:rFonts w:asciiTheme="minorEastAsia" w:hAnsiTheme="minorEastAsia" w:cs="宋体"/>
                <w:bCs/>
                <w:kern w:val="0"/>
                <w:sz w:val="24"/>
                <w:szCs w:val="24"/>
              </w:rPr>
            </w:pPr>
            <w:r>
              <w:rPr>
                <w:rFonts w:asciiTheme="minorEastAsia" w:hAnsiTheme="minorEastAsia" w:cs="宋体" w:hint="eastAsia"/>
                <w:bCs/>
                <w:kern w:val="0"/>
                <w:sz w:val="24"/>
                <w:szCs w:val="24"/>
              </w:rPr>
              <w:t>专家命题费</w:t>
            </w:r>
          </w:p>
        </w:tc>
        <w:tc>
          <w:tcPr>
            <w:tcW w:w="3218" w:type="dxa"/>
            <w:vAlign w:val="center"/>
          </w:tcPr>
          <w:p w:rsidR="005B6FD7" w:rsidRDefault="008B291F">
            <w:pPr>
              <w:widowControl/>
              <w:jc w:val="center"/>
              <w:rPr>
                <w:rFonts w:asciiTheme="minorEastAsia" w:hAnsiTheme="minorEastAsia" w:cs="宋体"/>
                <w:bCs/>
                <w:kern w:val="0"/>
                <w:sz w:val="24"/>
                <w:szCs w:val="24"/>
              </w:rPr>
            </w:pPr>
            <w:r>
              <w:rPr>
                <w:rFonts w:asciiTheme="minorEastAsia" w:hAnsiTheme="minorEastAsia" w:cs="宋体" w:hint="eastAsia"/>
                <w:bCs/>
                <w:kern w:val="0"/>
                <w:sz w:val="24"/>
                <w:szCs w:val="24"/>
              </w:rPr>
              <w:t>10万元</w:t>
            </w:r>
          </w:p>
        </w:tc>
      </w:tr>
      <w:tr w:rsidR="005B6FD7">
        <w:trPr>
          <w:trHeight w:val="283"/>
          <w:jc w:val="center"/>
        </w:trPr>
        <w:tc>
          <w:tcPr>
            <w:tcW w:w="4261" w:type="dxa"/>
            <w:vAlign w:val="center"/>
          </w:tcPr>
          <w:p w:rsidR="005B6FD7" w:rsidRDefault="008B291F">
            <w:pPr>
              <w:widowControl/>
              <w:jc w:val="center"/>
              <w:rPr>
                <w:rFonts w:asciiTheme="minorEastAsia" w:hAnsiTheme="minorEastAsia" w:cs="宋体"/>
                <w:bCs/>
                <w:kern w:val="0"/>
                <w:sz w:val="24"/>
                <w:szCs w:val="24"/>
              </w:rPr>
            </w:pPr>
            <w:r>
              <w:rPr>
                <w:rFonts w:asciiTheme="minorEastAsia" w:hAnsiTheme="minorEastAsia" w:cs="宋体" w:hint="eastAsia"/>
                <w:bCs/>
                <w:kern w:val="0"/>
                <w:sz w:val="24"/>
                <w:szCs w:val="24"/>
              </w:rPr>
              <w:t>奖品费</w:t>
            </w:r>
          </w:p>
        </w:tc>
        <w:tc>
          <w:tcPr>
            <w:tcW w:w="3218" w:type="dxa"/>
            <w:vAlign w:val="center"/>
          </w:tcPr>
          <w:p w:rsidR="005B6FD7" w:rsidRDefault="008B291F">
            <w:pPr>
              <w:widowControl/>
              <w:jc w:val="center"/>
              <w:rPr>
                <w:rFonts w:asciiTheme="minorEastAsia" w:hAnsiTheme="minorEastAsia" w:cs="宋体"/>
                <w:bCs/>
                <w:kern w:val="0"/>
                <w:sz w:val="24"/>
                <w:szCs w:val="24"/>
              </w:rPr>
            </w:pPr>
            <w:r>
              <w:rPr>
                <w:rFonts w:asciiTheme="minorEastAsia" w:hAnsiTheme="minorEastAsia" w:cs="宋体" w:hint="eastAsia"/>
                <w:bCs/>
                <w:kern w:val="0"/>
                <w:sz w:val="24"/>
                <w:szCs w:val="24"/>
              </w:rPr>
              <w:t>15万元</w:t>
            </w:r>
          </w:p>
        </w:tc>
      </w:tr>
      <w:tr w:rsidR="005B6FD7">
        <w:trPr>
          <w:trHeight w:val="283"/>
          <w:jc w:val="center"/>
        </w:trPr>
        <w:tc>
          <w:tcPr>
            <w:tcW w:w="4261" w:type="dxa"/>
            <w:vAlign w:val="center"/>
          </w:tcPr>
          <w:p w:rsidR="005B6FD7" w:rsidRDefault="008B291F">
            <w:pPr>
              <w:widowControl/>
              <w:jc w:val="center"/>
              <w:rPr>
                <w:rFonts w:asciiTheme="minorEastAsia" w:hAnsiTheme="minorEastAsia" w:cs="宋体"/>
                <w:bCs/>
                <w:kern w:val="0"/>
                <w:sz w:val="24"/>
                <w:szCs w:val="24"/>
              </w:rPr>
            </w:pPr>
            <w:r>
              <w:rPr>
                <w:rFonts w:asciiTheme="minorEastAsia" w:hAnsiTheme="minorEastAsia" w:cs="宋体" w:hint="eastAsia"/>
                <w:bCs/>
                <w:kern w:val="0"/>
                <w:sz w:val="24"/>
                <w:szCs w:val="24"/>
              </w:rPr>
              <w:t>宣传费</w:t>
            </w:r>
          </w:p>
        </w:tc>
        <w:tc>
          <w:tcPr>
            <w:tcW w:w="3218" w:type="dxa"/>
            <w:vAlign w:val="center"/>
          </w:tcPr>
          <w:p w:rsidR="005B6FD7" w:rsidRDefault="008B291F">
            <w:pPr>
              <w:widowControl/>
              <w:jc w:val="center"/>
              <w:rPr>
                <w:rFonts w:asciiTheme="minorEastAsia" w:hAnsiTheme="minorEastAsia" w:cs="宋体"/>
                <w:bCs/>
                <w:kern w:val="0"/>
                <w:sz w:val="24"/>
                <w:szCs w:val="24"/>
              </w:rPr>
            </w:pPr>
            <w:r>
              <w:rPr>
                <w:rFonts w:asciiTheme="minorEastAsia" w:hAnsiTheme="minorEastAsia" w:cs="宋体" w:hint="eastAsia"/>
                <w:bCs/>
                <w:kern w:val="0"/>
                <w:sz w:val="24"/>
                <w:szCs w:val="24"/>
              </w:rPr>
              <w:t>5万元</w:t>
            </w:r>
          </w:p>
        </w:tc>
      </w:tr>
      <w:tr w:rsidR="005B6FD7">
        <w:trPr>
          <w:trHeight w:val="283"/>
          <w:jc w:val="center"/>
        </w:trPr>
        <w:tc>
          <w:tcPr>
            <w:tcW w:w="4261" w:type="dxa"/>
            <w:vAlign w:val="center"/>
          </w:tcPr>
          <w:p w:rsidR="005B6FD7" w:rsidRDefault="008B291F">
            <w:pPr>
              <w:widowControl/>
              <w:jc w:val="center"/>
              <w:rPr>
                <w:rFonts w:asciiTheme="minorEastAsia" w:hAnsiTheme="minorEastAsia" w:cs="宋体"/>
                <w:bCs/>
                <w:kern w:val="0"/>
                <w:sz w:val="24"/>
                <w:szCs w:val="24"/>
              </w:rPr>
            </w:pPr>
            <w:r>
              <w:rPr>
                <w:rFonts w:asciiTheme="minorEastAsia" w:hAnsiTheme="minorEastAsia" w:cs="宋体" w:hint="eastAsia"/>
                <w:bCs/>
                <w:kern w:val="0"/>
                <w:sz w:val="24"/>
                <w:szCs w:val="24"/>
              </w:rPr>
              <w:t>工作人员费用</w:t>
            </w:r>
          </w:p>
        </w:tc>
        <w:tc>
          <w:tcPr>
            <w:tcW w:w="3218" w:type="dxa"/>
            <w:vAlign w:val="center"/>
          </w:tcPr>
          <w:p w:rsidR="005B6FD7" w:rsidRDefault="008B291F">
            <w:pPr>
              <w:widowControl/>
              <w:jc w:val="center"/>
              <w:rPr>
                <w:rFonts w:asciiTheme="minorEastAsia" w:hAnsiTheme="minorEastAsia" w:cs="宋体"/>
                <w:bCs/>
                <w:kern w:val="0"/>
                <w:sz w:val="24"/>
                <w:szCs w:val="24"/>
              </w:rPr>
            </w:pPr>
            <w:r>
              <w:rPr>
                <w:rFonts w:asciiTheme="minorEastAsia" w:hAnsiTheme="minorEastAsia" w:cs="宋体" w:hint="eastAsia"/>
                <w:bCs/>
                <w:kern w:val="0"/>
                <w:sz w:val="24"/>
                <w:szCs w:val="24"/>
              </w:rPr>
              <w:t>10万元</w:t>
            </w:r>
          </w:p>
        </w:tc>
      </w:tr>
    </w:tbl>
    <w:p w:rsidR="005B6FD7" w:rsidRDefault="008B291F">
      <w:pPr>
        <w:snapToGrid w:val="0"/>
        <w:spacing w:line="560" w:lineRule="exact"/>
        <w:ind w:firstLineChars="200" w:firstLine="602"/>
        <w:rPr>
          <w:rFonts w:ascii="黑体" w:eastAsia="黑体" w:hAnsi="黑体" w:cs="黑体"/>
          <w:b/>
          <w:sz w:val="36"/>
          <w:szCs w:val="36"/>
        </w:rPr>
      </w:pPr>
      <w:r>
        <w:rPr>
          <w:rFonts w:ascii="黑体" w:eastAsia="黑体" w:hAnsi="黑体" w:cs="黑体" w:hint="eastAsia"/>
          <w:b/>
          <w:sz w:val="30"/>
          <w:szCs w:val="30"/>
        </w:rPr>
        <w:t>十六、比赛组织与管理</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本赛项由中国职业技术教育学</w:t>
      </w:r>
      <w:proofErr w:type="gramStart"/>
      <w:r>
        <w:rPr>
          <w:rFonts w:ascii="仿宋_GB2312" w:eastAsia="仿宋_GB2312" w:hAnsi="仿宋_GB2312" w:cs="仿宋_GB2312" w:hint="eastAsia"/>
          <w:sz w:val="30"/>
          <w:szCs w:val="30"/>
        </w:rPr>
        <w:t>会商科</w:t>
      </w:r>
      <w:proofErr w:type="gramEnd"/>
      <w:r>
        <w:rPr>
          <w:rFonts w:ascii="仿宋_GB2312" w:eastAsia="仿宋_GB2312" w:hAnsi="仿宋_GB2312" w:cs="仿宋_GB2312" w:hint="eastAsia"/>
          <w:sz w:val="30"/>
          <w:szCs w:val="30"/>
        </w:rPr>
        <w:t>专业委员会承办，相关院校承办比赛、相关企业提供技术支持，由主办方、承办方和承办院校及合作企业代表及专家组成赛事组委会负责赛事的整体规划。大赛拟设</w:t>
      </w:r>
      <w:proofErr w:type="gramStart"/>
      <w:r>
        <w:rPr>
          <w:rFonts w:ascii="仿宋_GB2312" w:eastAsia="仿宋_GB2312" w:hAnsi="仿宋_GB2312" w:cs="仿宋_GB2312" w:hint="eastAsia"/>
          <w:sz w:val="30"/>
          <w:szCs w:val="30"/>
        </w:rPr>
        <w:t>置专家</w:t>
      </w:r>
      <w:proofErr w:type="gramEnd"/>
      <w:r>
        <w:rPr>
          <w:rFonts w:ascii="仿宋_GB2312" w:eastAsia="仿宋_GB2312" w:hAnsi="仿宋_GB2312" w:cs="仿宋_GB2312" w:hint="eastAsia"/>
          <w:sz w:val="30"/>
          <w:szCs w:val="30"/>
        </w:rPr>
        <w:t>咨询委员会、组委会及执委会。</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大赛组委会：</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（一）教育部为主办方负责竞赛的全面组织、统筹安排。</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（二）中国职业技术教育学</w:t>
      </w:r>
      <w:proofErr w:type="gramStart"/>
      <w:r>
        <w:rPr>
          <w:rFonts w:ascii="仿宋_GB2312" w:eastAsia="仿宋_GB2312" w:hAnsi="仿宋_GB2312" w:cs="仿宋_GB2312" w:hint="eastAsia"/>
          <w:sz w:val="30"/>
          <w:szCs w:val="30"/>
        </w:rPr>
        <w:t>会商科</w:t>
      </w:r>
      <w:proofErr w:type="gramEnd"/>
      <w:r>
        <w:rPr>
          <w:rFonts w:ascii="仿宋_GB2312" w:eastAsia="仿宋_GB2312" w:hAnsi="仿宋_GB2312" w:cs="仿宋_GB2312" w:hint="eastAsia"/>
          <w:sz w:val="30"/>
          <w:szCs w:val="30"/>
        </w:rPr>
        <w:t>专业委员会组建赛项设计团队，并负责完成赛项设计、竞赛规则和评判标准的制定，以及裁判员遴选、赛事组织等工作。</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（三）承办院校负责竞赛场地、设施设备准备及竞赛后勤保障。</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（四）相关企业负责竞赛软件平台设计及相关技术支持。</w:t>
      </w:r>
    </w:p>
    <w:p w:rsidR="005B6FD7" w:rsidRDefault="008B291F">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十七、教学资源转化建设方案</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在大赛执委会的领导与监督下，赛后30日内向大赛执委会办公室提交资源转化方案，在半年内完成资源转化工作。</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（一）赛项资源转化的内容包括本赛项</w:t>
      </w:r>
      <w:proofErr w:type="gramStart"/>
      <w:r>
        <w:rPr>
          <w:rFonts w:ascii="仿宋_GB2312" w:eastAsia="仿宋_GB2312" w:hAnsi="仿宋_GB2312" w:cs="仿宋_GB2312" w:hint="eastAsia"/>
          <w:sz w:val="30"/>
          <w:szCs w:val="30"/>
        </w:rPr>
        <w:t>竞赛全</w:t>
      </w:r>
      <w:proofErr w:type="gramEnd"/>
      <w:r>
        <w:rPr>
          <w:rFonts w:ascii="仿宋_GB2312" w:eastAsia="仿宋_GB2312" w:hAnsi="仿宋_GB2312" w:cs="仿宋_GB2312" w:hint="eastAsia"/>
          <w:sz w:val="30"/>
          <w:szCs w:val="30"/>
        </w:rPr>
        <w:t>过程的各类资源。做到赛项资源转化成果应符合行业标准、契合课程标准、突出技能特色、展现竞赛优势，形成满足职业教育教学需求、体现先进教学模式、反映职业教育先进水平的共享性职业教育教学资源。</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（二）本赛项资源转化成果包含基本资源和拓展资源，充分体现本赛项技能考核特点。</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1.可提供以下基本资源</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（1）向大赛执委会提供专家点评视频、优秀选手/指导教师访谈视频。</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（2）向大赛执委会提供竞赛规程、竞赛样题、竞赛试题，各参赛团队经营数据。</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2.可提供以下拓展资源</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（1）针对赛项竞赛规程的内容，组织行业专家、教师共同开发制作微课程，供参赛校教学使用。</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（2）搭建赛项教育云平台，主要包括资源共享、资源下载、技术交流、在线学习、题库建设等单元。</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（三）本赛项所有转化资源做到均符合《2016年全国职业院校技能大赛赛项资源转化工作办法》中规定的各项技术标准。</w:t>
      </w:r>
    </w:p>
    <w:p w:rsidR="005B6FD7" w:rsidRDefault="008B291F">
      <w:pPr>
        <w:snapToGrid w:val="0"/>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（四）资源的使用与管理。赛项资源转化成果由大赛执委会统一实施，成熟的资源转化成果发布于有关网络平台，</w:t>
      </w:r>
      <w:proofErr w:type="gramStart"/>
      <w:r>
        <w:rPr>
          <w:rFonts w:ascii="仿宋_GB2312" w:eastAsia="仿宋_GB2312" w:hAnsi="仿宋_GB2312" w:cs="仿宋_GB2312" w:hint="eastAsia"/>
          <w:sz w:val="30"/>
          <w:szCs w:val="30"/>
        </w:rPr>
        <w:t>供职业院校</w:t>
      </w:r>
      <w:proofErr w:type="gramEnd"/>
      <w:r>
        <w:rPr>
          <w:rFonts w:ascii="仿宋_GB2312" w:eastAsia="仿宋_GB2312" w:hAnsi="仿宋_GB2312" w:cs="仿宋_GB2312" w:hint="eastAsia"/>
          <w:sz w:val="30"/>
          <w:szCs w:val="30"/>
        </w:rPr>
        <w:t>师生借鉴学习。</w:t>
      </w:r>
    </w:p>
    <w:p w:rsidR="005B6FD7" w:rsidRDefault="008B291F">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十八、筹备工作进度时间表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33"/>
        <w:gridCol w:w="4594"/>
        <w:gridCol w:w="3402"/>
      </w:tblGrid>
      <w:tr w:rsidR="005B6FD7">
        <w:trPr>
          <w:trHeight w:val="227"/>
          <w:jc w:val="center"/>
        </w:trPr>
        <w:tc>
          <w:tcPr>
            <w:tcW w:w="933" w:type="dxa"/>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b/>
                <w:sz w:val="24"/>
                <w:szCs w:val="24"/>
              </w:rPr>
            </w:pPr>
            <w:r>
              <w:rPr>
                <w:rFonts w:asciiTheme="minorEastAsia" w:hAnsiTheme="minorEastAsia" w:cs="Arial" w:hint="eastAsia"/>
                <w:b/>
                <w:kern w:val="0"/>
                <w:sz w:val="24"/>
                <w:szCs w:val="24"/>
              </w:rPr>
              <w:t>序号</w:t>
            </w:r>
          </w:p>
        </w:tc>
        <w:tc>
          <w:tcPr>
            <w:tcW w:w="4594" w:type="dxa"/>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b/>
                <w:sz w:val="24"/>
                <w:szCs w:val="24"/>
              </w:rPr>
            </w:pPr>
            <w:r>
              <w:rPr>
                <w:rFonts w:asciiTheme="minorEastAsia" w:hAnsiTheme="minorEastAsia" w:cs="Arial" w:hint="eastAsia"/>
                <w:b/>
                <w:kern w:val="0"/>
                <w:sz w:val="24"/>
                <w:szCs w:val="24"/>
              </w:rPr>
              <w:t>内　容</w:t>
            </w:r>
          </w:p>
        </w:tc>
        <w:tc>
          <w:tcPr>
            <w:tcW w:w="3402" w:type="dxa"/>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b/>
                <w:sz w:val="24"/>
                <w:szCs w:val="24"/>
              </w:rPr>
            </w:pPr>
            <w:r>
              <w:rPr>
                <w:rFonts w:asciiTheme="minorEastAsia" w:hAnsiTheme="minorEastAsia" w:cs="Arial" w:hint="eastAsia"/>
                <w:b/>
                <w:kern w:val="0"/>
                <w:sz w:val="24"/>
                <w:szCs w:val="24"/>
              </w:rPr>
              <w:t>时间安排（2018年）</w:t>
            </w:r>
          </w:p>
        </w:tc>
      </w:tr>
      <w:tr w:rsidR="005B6FD7">
        <w:trPr>
          <w:trHeight w:val="227"/>
          <w:jc w:val="center"/>
        </w:trPr>
        <w:tc>
          <w:tcPr>
            <w:tcW w:w="933" w:type="dxa"/>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cs="Arial"/>
                <w:kern w:val="0"/>
                <w:sz w:val="24"/>
                <w:szCs w:val="24"/>
              </w:rPr>
            </w:pPr>
            <w:r>
              <w:rPr>
                <w:rFonts w:asciiTheme="minorEastAsia" w:hAnsiTheme="minorEastAsia" w:cs="Arial" w:hint="eastAsia"/>
                <w:kern w:val="0"/>
                <w:sz w:val="24"/>
                <w:szCs w:val="24"/>
              </w:rPr>
              <w:t>1</w:t>
            </w:r>
          </w:p>
        </w:tc>
        <w:tc>
          <w:tcPr>
            <w:tcW w:w="4594" w:type="dxa"/>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cs="Arial"/>
                <w:kern w:val="0"/>
                <w:sz w:val="24"/>
                <w:szCs w:val="24"/>
              </w:rPr>
            </w:pPr>
            <w:r>
              <w:rPr>
                <w:rFonts w:asciiTheme="minorEastAsia" w:hAnsiTheme="minorEastAsia" w:cs="Arial" w:hint="eastAsia"/>
                <w:kern w:val="0"/>
                <w:sz w:val="24"/>
                <w:szCs w:val="24"/>
              </w:rPr>
              <w:t>成立赛项执委会、专家组、确定承办院校、合作企业</w:t>
            </w:r>
          </w:p>
        </w:tc>
        <w:tc>
          <w:tcPr>
            <w:tcW w:w="3402" w:type="dxa"/>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cs="Arial"/>
                <w:kern w:val="0"/>
                <w:sz w:val="24"/>
                <w:szCs w:val="24"/>
              </w:rPr>
            </w:pPr>
            <w:r>
              <w:rPr>
                <w:rFonts w:asciiTheme="minorEastAsia" w:hAnsiTheme="minorEastAsia" w:cs="Arial" w:hint="eastAsia"/>
                <w:kern w:val="0"/>
                <w:sz w:val="24"/>
                <w:szCs w:val="24"/>
              </w:rPr>
              <w:t>2月1日～3月31日</w:t>
            </w:r>
          </w:p>
        </w:tc>
      </w:tr>
      <w:tr w:rsidR="005B6FD7">
        <w:trPr>
          <w:trHeight w:val="227"/>
          <w:jc w:val="center"/>
        </w:trPr>
        <w:tc>
          <w:tcPr>
            <w:tcW w:w="933" w:type="dxa"/>
            <w:vMerge w:val="restart"/>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cs="Arial"/>
                <w:kern w:val="0"/>
                <w:sz w:val="24"/>
                <w:szCs w:val="24"/>
              </w:rPr>
            </w:pPr>
            <w:r>
              <w:rPr>
                <w:rFonts w:asciiTheme="minorEastAsia" w:hAnsiTheme="minorEastAsia" w:cs="Arial" w:hint="eastAsia"/>
                <w:kern w:val="0"/>
                <w:sz w:val="24"/>
                <w:szCs w:val="24"/>
              </w:rPr>
              <w:t>2</w:t>
            </w:r>
          </w:p>
        </w:tc>
        <w:tc>
          <w:tcPr>
            <w:tcW w:w="4594" w:type="dxa"/>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cs="Arial"/>
                <w:kern w:val="0"/>
                <w:sz w:val="24"/>
                <w:szCs w:val="24"/>
              </w:rPr>
            </w:pPr>
            <w:r>
              <w:rPr>
                <w:rFonts w:asciiTheme="minorEastAsia" w:hAnsiTheme="minorEastAsia" w:cs="Arial" w:hint="eastAsia"/>
                <w:kern w:val="0"/>
                <w:sz w:val="24"/>
                <w:szCs w:val="24"/>
              </w:rPr>
              <w:t>赛项规程、赛项器材方案、企业合作提案、赛项预算</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sz w:val="24"/>
                <w:szCs w:val="24"/>
              </w:rPr>
            </w:pPr>
            <w:r>
              <w:rPr>
                <w:rFonts w:asciiTheme="minorEastAsia" w:hAnsiTheme="minorEastAsia" w:cs="Arial" w:hint="eastAsia"/>
                <w:kern w:val="0"/>
                <w:sz w:val="24"/>
                <w:szCs w:val="24"/>
              </w:rPr>
              <w:t>4月1日～4月30日</w:t>
            </w:r>
          </w:p>
        </w:tc>
      </w:tr>
      <w:tr w:rsidR="005B6FD7">
        <w:trPr>
          <w:trHeight w:val="227"/>
          <w:jc w:val="center"/>
        </w:trPr>
        <w:tc>
          <w:tcPr>
            <w:tcW w:w="933" w:type="dxa"/>
            <w:vMerge/>
            <w:tcBorders>
              <w:top w:val="single" w:sz="4" w:space="0" w:color="auto"/>
              <w:left w:val="single" w:sz="4" w:space="0" w:color="auto"/>
              <w:bottom w:val="single" w:sz="4" w:space="0" w:color="auto"/>
              <w:right w:val="single" w:sz="4" w:space="0" w:color="auto"/>
            </w:tcBorders>
            <w:vAlign w:val="center"/>
          </w:tcPr>
          <w:p w:rsidR="005B6FD7" w:rsidRDefault="005B6FD7">
            <w:pPr>
              <w:widowControl/>
              <w:jc w:val="left"/>
              <w:rPr>
                <w:rFonts w:asciiTheme="minorEastAsia" w:hAnsiTheme="minorEastAsia"/>
                <w:sz w:val="24"/>
                <w:szCs w:val="24"/>
              </w:rPr>
            </w:pPr>
          </w:p>
        </w:tc>
        <w:tc>
          <w:tcPr>
            <w:tcW w:w="4594" w:type="dxa"/>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sz w:val="24"/>
                <w:szCs w:val="24"/>
              </w:rPr>
            </w:pPr>
            <w:r>
              <w:rPr>
                <w:rFonts w:asciiTheme="minorEastAsia" w:hAnsiTheme="minorEastAsia" w:cs="Arial" w:hint="eastAsia"/>
                <w:kern w:val="0"/>
                <w:sz w:val="24"/>
                <w:szCs w:val="24"/>
              </w:rPr>
              <w:t>体验环节设计方案、赛场开放方案、宣传方案、教学资源转化方案、赛事安全规章、突发事件应急预案</w:t>
            </w:r>
          </w:p>
        </w:tc>
        <w:tc>
          <w:tcPr>
            <w:tcW w:w="3402" w:type="dxa"/>
            <w:vMerge/>
            <w:tcBorders>
              <w:top w:val="single" w:sz="4" w:space="0" w:color="auto"/>
              <w:left w:val="single" w:sz="4" w:space="0" w:color="auto"/>
              <w:bottom w:val="single" w:sz="4" w:space="0" w:color="auto"/>
              <w:right w:val="single" w:sz="4" w:space="0" w:color="auto"/>
            </w:tcBorders>
            <w:vAlign w:val="center"/>
          </w:tcPr>
          <w:p w:rsidR="005B6FD7" w:rsidRDefault="005B6FD7">
            <w:pPr>
              <w:widowControl/>
              <w:jc w:val="left"/>
              <w:rPr>
                <w:rFonts w:asciiTheme="minorEastAsia" w:hAnsiTheme="minorEastAsia"/>
                <w:sz w:val="24"/>
                <w:szCs w:val="24"/>
              </w:rPr>
            </w:pPr>
          </w:p>
        </w:tc>
      </w:tr>
      <w:tr w:rsidR="005B6FD7">
        <w:trPr>
          <w:trHeight w:val="227"/>
          <w:jc w:val="center"/>
        </w:trPr>
        <w:tc>
          <w:tcPr>
            <w:tcW w:w="933" w:type="dxa"/>
            <w:vMerge w:val="restart"/>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cs="Arial"/>
                <w:kern w:val="0"/>
                <w:sz w:val="24"/>
                <w:szCs w:val="24"/>
              </w:rPr>
            </w:pPr>
            <w:r>
              <w:rPr>
                <w:rFonts w:asciiTheme="minorEastAsia" w:hAnsiTheme="minorEastAsia" w:cs="Arial" w:hint="eastAsia"/>
                <w:kern w:val="0"/>
                <w:sz w:val="24"/>
                <w:szCs w:val="24"/>
              </w:rPr>
              <w:t>3</w:t>
            </w:r>
          </w:p>
        </w:tc>
        <w:tc>
          <w:tcPr>
            <w:tcW w:w="4594" w:type="dxa"/>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cs="Arial"/>
                <w:kern w:val="0"/>
                <w:sz w:val="24"/>
                <w:szCs w:val="24"/>
              </w:rPr>
            </w:pPr>
            <w:r>
              <w:rPr>
                <w:rFonts w:asciiTheme="minorEastAsia" w:hAnsiTheme="minorEastAsia" w:cs="Arial" w:hint="eastAsia"/>
                <w:kern w:val="0"/>
                <w:sz w:val="24"/>
                <w:szCs w:val="24"/>
              </w:rPr>
              <w:t>赛项答疑、裁判员选拔与培训</w:t>
            </w:r>
          </w:p>
        </w:tc>
        <w:tc>
          <w:tcPr>
            <w:tcW w:w="3402" w:type="dxa"/>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cs="Arial"/>
                <w:kern w:val="0"/>
                <w:sz w:val="24"/>
                <w:szCs w:val="24"/>
              </w:rPr>
            </w:pPr>
            <w:r>
              <w:rPr>
                <w:rFonts w:asciiTheme="minorEastAsia" w:hAnsiTheme="minorEastAsia" w:cs="Arial" w:hint="eastAsia"/>
                <w:kern w:val="0"/>
                <w:sz w:val="24"/>
                <w:szCs w:val="24"/>
              </w:rPr>
              <w:t>4月1日～4月30日</w:t>
            </w:r>
          </w:p>
        </w:tc>
      </w:tr>
      <w:tr w:rsidR="005B6FD7">
        <w:trPr>
          <w:trHeight w:val="227"/>
          <w:jc w:val="center"/>
        </w:trPr>
        <w:tc>
          <w:tcPr>
            <w:tcW w:w="933" w:type="dxa"/>
            <w:vMerge/>
            <w:tcBorders>
              <w:top w:val="single" w:sz="4" w:space="0" w:color="auto"/>
              <w:left w:val="single" w:sz="4" w:space="0" w:color="auto"/>
              <w:bottom w:val="single" w:sz="4" w:space="0" w:color="auto"/>
              <w:right w:val="single" w:sz="4" w:space="0" w:color="auto"/>
            </w:tcBorders>
            <w:vAlign w:val="center"/>
          </w:tcPr>
          <w:p w:rsidR="005B6FD7" w:rsidRDefault="005B6FD7">
            <w:pPr>
              <w:jc w:val="center"/>
              <w:rPr>
                <w:rFonts w:asciiTheme="minorEastAsia" w:hAnsiTheme="minorEastAsia" w:cs="Arial"/>
                <w:kern w:val="0"/>
                <w:sz w:val="24"/>
                <w:szCs w:val="24"/>
              </w:rPr>
            </w:pPr>
          </w:p>
        </w:tc>
        <w:tc>
          <w:tcPr>
            <w:tcW w:w="4594" w:type="dxa"/>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cs="Arial"/>
                <w:kern w:val="0"/>
                <w:sz w:val="24"/>
                <w:szCs w:val="24"/>
              </w:rPr>
            </w:pPr>
            <w:r>
              <w:rPr>
                <w:rFonts w:asciiTheme="minorEastAsia" w:hAnsiTheme="minorEastAsia" w:cs="Arial" w:hint="eastAsia"/>
                <w:kern w:val="0"/>
                <w:sz w:val="24"/>
                <w:szCs w:val="24"/>
              </w:rPr>
              <w:t>省赛</w:t>
            </w:r>
            <w:proofErr w:type="gramStart"/>
            <w:r>
              <w:rPr>
                <w:rFonts w:asciiTheme="minorEastAsia" w:hAnsiTheme="minorEastAsia" w:cs="Arial" w:hint="eastAsia"/>
                <w:kern w:val="0"/>
                <w:sz w:val="24"/>
                <w:szCs w:val="24"/>
              </w:rPr>
              <w:t>选拨</w:t>
            </w:r>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cs="Arial"/>
                <w:kern w:val="0"/>
                <w:sz w:val="24"/>
                <w:szCs w:val="24"/>
              </w:rPr>
            </w:pPr>
            <w:r>
              <w:rPr>
                <w:rFonts w:asciiTheme="minorEastAsia" w:hAnsiTheme="minorEastAsia" w:cs="Arial"/>
                <w:kern w:val="0"/>
                <w:sz w:val="24"/>
                <w:szCs w:val="24"/>
              </w:rPr>
              <w:t>4</w:t>
            </w:r>
            <w:r>
              <w:rPr>
                <w:rFonts w:asciiTheme="minorEastAsia" w:hAnsiTheme="minorEastAsia" w:cs="Arial" w:hint="eastAsia"/>
                <w:kern w:val="0"/>
                <w:sz w:val="24"/>
                <w:szCs w:val="24"/>
              </w:rPr>
              <w:t>月30日前</w:t>
            </w:r>
          </w:p>
        </w:tc>
      </w:tr>
      <w:tr w:rsidR="005B6FD7">
        <w:trPr>
          <w:trHeight w:val="227"/>
          <w:jc w:val="center"/>
        </w:trPr>
        <w:tc>
          <w:tcPr>
            <w:tcW w:w="933" w:type="dxa"/>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cs="Arial"/>
                <w:kern w:val="0"/>
                <w:sz w:val="24"/>
                <w:szCs w:val="24"/>
              </w:rPr>
            </w:pPr>
            <w:r>
              <w:rPr>
                <w:rFonts w:asciiTheme="minorEastAsia" w:hAnsiTheme="minorEastAsia" w:cs="Arial" w:hint="eastAsia"/>
                <w:kern w:val="0"/>
                <w:sz w:val="24"/>
                <w:szCs w:val="24"/>
              </w:rPr>
              <w:t>4</w:t>
            </w:r>
          </w:p>
        </w:tc>
        <w:tc>
          <w:tcPr>
            <w:tcW w:w="4594" w:type="dxa"/>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cs="Arial"/>
                <w:kern w:val="0"/>
                <w:sz w:val="24"/>
                <w:szCs w:val="24"/>
              </w:rPr>
            </w:pPr>
            <w:r>
              <w:rPr>
                <w:rFonts w:asciiTheme="minorEastAsia" w:hAnsiTheme="minorEastAsia" w:cs="Arial" w:hint="eastAsia"/>
                <w:kern w:val="0"/>
                <w:sz w:val="24"/>
                <w:szCs w:val="24"/>
              </w:rPr>
              <w:t>比赛设备安装、调试；全国总决赛</w:t>
            </w:r>
          </w:p>
        </w:tc>
        <w:tc>
          <w:tcPr>
            <w:tcW w:w="3402" w:type="dxa"/>
            <w:tcBorders>
              <w:top w:val="single" w:sz="4" w:space="0" w:color="auto"/>
              <w:left w:val="single" w:sz="4" w:space="0" w:color="auto"/>
              <w:bottom w:val="single" w:sz="4" w:space="0" w:color="auto"/>
              <w:right w:val="single" w:sz="4" w:space="0" w:color="auto"/>
            </w:tcBorders>
            <w:vAlign w:val="center"/>
          </w:tcPr>
          <w:p w:rsidR="005B6FD7" w:rsidRDefault="008B291F">
            <w:pPr>
              <w:jc w:val="center"/>
              <w:rPr>
                <w:rFonts w:asciiTheme="minorEastAsia" w:hAnsiTheme="minorEastAsia" w:cs="Arial"/>
                <w:kern w:val="0"/>
                <w:sz w:val="24"/>
                <w:szCs w:val="24"/>
              </w:rPr>
            </w:pPr>
            <w:r>
              <w:rPr>
                <w:rFonts w:asciiTheme="minorEastAsia" w:hAnsiTheme="minorEastAsia" w:cs="Arial" w:hint="eastAsia"/>
                <w:kern w:val="0"/>
                <w:sz w:val="24"/>
                <w:szCs w:val="24"/>
              </w:rPr>
              <w:t>5月1日～</w:t>
            </w:r>
            <w:r>
              <w:rPr>
                <w:rFonts w:asciiTheme="minorEastAsia" w:hAnsiTheme="minorEastAsia" w:cs="Arial"/>
                <w:kern w:val="0"/>
                <w:sz w:val="24"/>
                <w:szCs w:val="24"/>
              </w:rPr>
              <w:t>5</w:t>
            </w:r>
            <w:r>
              <w:rPr>
                <w:rFonts w:asciiTheme="minorEastAsia" w:hAnsiTheme="minorEastAsia" w:cs="Arial" w:hint="eastAsia"/>
                <w:kern w:val="0"/>
                <w:sz w:val="24"/>
                <w:szCs w:val="24"/>
              </w:rPr>
              <w:t>月3</w:t>
            </w:r>
            <w:r>
              <w:rPr>
                <w:rFonts w:asciiTheme="minorEastAsia" w:hAnsiTheme="minorEastAsia" w:cs="Arial"/>
                <w:kern w:val="0"/>
                <w:sz w:val="24"/>
                <w:szCs w:val="24"/>
              </w:rPr>
              <w:t>0</w:t>
            </w:r>
            <w:r>
              <w:rPr>
                <w:rFonts w:asciiTheme="minorEastAsia" w:hAnsiTheme="minorEastAsia" w:cs="Arial" w:hint="eastAsia"/>
                <w:kern w:val="0"/>
                <w:sz w:val="24"/>
                <w:szCs w:val="24"/>
              </w:rPr>
              <w:t>日</w:t>
            </w:r>
          </w:p>
          <w:p w:rsidR="005B6FD7" w:rsidRDefault="008B291F">
            <w:pPr>
              <w:jc w:val="center"/>
              <w:rPr>
                <w:rFonts w:asciiTheme="minorEastAsia" w:hAnsiTheme="minorEastAsia" w:cs="Arial"/>
                <w:kern w:val="0"/>
                <w:sz w:val="24"/>
                <w:szCs w:val="24"/>
              </w:rPr>
            </w:pPr>
            <w:r>
              <w:rPr>
                <w:rFonts w:asciiTheme="minorEastAsia" w:hAnsiTheme="minorEastAsia" w:cs="Arial" w:hint="eastAsia"/>
                <w:kern w:val="0"/>
                <w:sz w:val="24"/>
                <w:szCs w:val="24"/>
              </w:rPr>
              <w:t>（可调整）</w:t>
            </w:r>
          </w:p>
        </w:tc>
      </w:tr>
    </w:tbl>
    <w:p w:rsidR="005B6FD7" w:rsidRDefault="008B291F">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十九、裁判人员建议</w:t>
      </w:r>
    </w:p>
    <w:tbl>
      <w:tblPr>
        <w:tblpPr w:leftFromText="180" w:rightFromText="180" w:vertAnchor="text" w:horzAnchor="margin" w:tblpXSpec="center" w:tblpY="8"/>
        <w:tblW w:w="850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02"/>
        <w:gridCol w:w="1725"/>
        <w:gridCol w:w="1665"/>
        <w:gridCol w:w="1485"/>
        <w:gridCol w:w="2048"/>
        <w:gridCol w:w="779"/>
      </w:tblGrid>
      <w:tr w:rsidR="005B6FD7">
        <w:trPr>
          <w:trHeight w:val="454"/>
        </w:trPr>
        <w:tc>
          <w:tcPr>
            <w:tcW w:w="802" w:type="dxa"/>
            <w:tcBorders>
              <w:top w:val="single" w:sz="8" w:space="0" w:color="auto"/>
            </w:tcBorders>
            <w:vAlign w:val="center"/>
          </w:tcPr>
          <w:p w:rsidR="005B6FD7" w:rsidRDefault="008B291F">
            <w:pPr>
              <w:adjustRightInd w:val="0"/>
              <w:snapToGrid w:val="0"/>
              <w:jc w:val="center"/>
              <w:rPr>
                <w:rFonts w:ascii="宋体" w:eastAsia="宋体" w:hAnsi="宋体" w:cs="宋体"/>
                <w:b/>
                <w:color w:val="000000"/>
                <w:sz w:val="24"/>
                <w:szCs w:val="24"/>
              </w:rPr>
            </w:pPr>
            <w:r>
              <w:rPr>
                <w:rFonts w:ascii="宋体" w:eastAsia="宋体" w:hAnsi="宋体" w:cs="宋体" w:hint="eastAsia"/>
                <w:b/>
                <w:color w:val="000000"/>
                <w:sz w:val="24"/>
                <w:szCs w:val="24"/>
              </w:rPr>
              <w:t>序号</w:t>
            </w:r>
          </w:p>
        </w:tc>
        <w:tc>
          <w:tcPr>
            <w:tcW w:w="1725" w:type="dxa"/>
            <w:tcBorders>
              <w:top w:val="single" w:sz="8" w:space="0" w:color="auto"/>
            </w:tcBorders>
            <w:vAlign w:val="center"/>
          </w:tcPr>
          <w:p w:rsidR="005B6FD7" w:rsidRDefault="008B291F">
            <w:pPr>
              <w:adjustRightInd w:val="0"/>
              <w:snapToGrid w:val="0"/>
              <w:jc w:val="center"/>
              <w:rPr>
                <w:rFonts w:ascii="宋体" w:eastAsia="宋体" w:hAnsi="宋体" w:cs="宋体"/>
                <w:b/>
                <w:color w:val="000000"/>
                <w:sz w:val="24"/>
                <w:szCs w:val="24"/>
              </w:rPr>
            </w:pPr>
            <w:r>
              <w:rPr>
                <w:rFonts w:ascii="宋体" w:eastAsia="宋体" w:hAnsi="宋体" w:cs="宋体" w:hint="eastAsia"/>
                <w:b/>
                <w:color w:val="000000"/>
                <w:sz w:val="24"/>
                <w:szCs w:val="24"/>
              </w:rPr>
              <w:t>专业技术方向</w:t>
            </w:r>
          </w:p>
        </w:tc>
        <w:tc>
          <w:tcPr>
            <w:tcW w:w="1665" w:type="dxa"/>
            <w:tcBorders>
              <w:top w:val="single" w:sz="8" w:space="0" w:color="auto"/>
            </w:tcBorders>
            <w:vAlign w:val="center"/>
          </w:tcPr>
          <w:p w:rsidR="005B6FD7" w:rsidRDefault="008B291F">
            <w:pPr>
              <w:adjustRightInd w:val="0"/>
              <w:snapToGrid w:val="0"/>
              <w:jc w:val="center"/>
              <w:rPr>
                <w:rFonts w:ascii="宋体" w:eastAsia="宋体" w:hAnsi="宋体" w:cs="宋体"/>
                <w:b/>
                <w:color w:val="000000"/>
                <w:sz w:val="24"/>
                <w:szCs w:val="24"/>
              </w:rPr>
            </w:pPr>
            <w:r>
              <w:rPr>
                <w:rFonts w:ascii="宋体" w:eastAsia="宋体" w:hAnsi="宋体" w:cs="宋体" w:hint="eastAsia"/>
                <w:b/>
                <w:color w:val="000000"/>
                <w:sz w:val="24"/>
                <w:szCs w:val="24"/>
              </w:rPr>
              <w:t>知识能力要求</w:t>
            </w:r>
          </w:p>
        </w:tc>
        <w:tc>
          <w:tcPr>
            <w:tcW w:w="1485" w:type="dxa"/>
            <w:tcBorders>
              <w:top w:val="single" w:sz="8" w:space="0" w:color="auto"/>
            </w:tcBorders>
            <w:vAlign w:val="center"/>
          </w:tcPr>
          <w:p w:rsidR="005B6FD7" w:rsidRDefault="008B291F">
            <w:pPr>
              <w:adjustRightInd w:val="0"/>
              <w:snapToGrid w:val="0"/>
              <w:jc w:val="center"/>
              <w:rPr>
                <w:rFonts w:ascii="宋体" w:eastAsia="宋体" w:hAnsi="宋体" w:cs="宋体"/>
                <w:b/>
                <w:color w:val="000000"/>
                <w:sz w:val="24"/>
                <w:szCs w:val="24"/>
              </w:rPr>
            </w:pPr>
            <w:r>
              <w:rPr>
                <w:rFonts w:ascii="宋体" w:eastAsia="宋体" w:hAnsi="宋体" w:cs="宋体" w:hint="eastAsia"/>
                <w:b/>
                <w:color w:val="000000"/>
                <w:sz w:val="24"/>
                <w:szCs w:val="24"/>
              </w:rPr>
              <w:t>执裁、教学、工作经历</w:t>
            </w:r>
          </w:p>
        </w:tc>
        <w:tc>
          <w:tcPr>
            <w:tcW w:w="2048" w:type="dxa"/>
            <w:tcBorders>
              <w:top w:val="single" w:sz="8" w:space="0" w:color="auto"/>
            </w:tcBorders>
            <w:vAlign w:val="center"/>
          </w:tcPr>
          <w:p w:rsidR="005B6FD7" w:rsidRDefault="008B291F">
            <w:pPr>
              <w:adjustRightInd w:val="0"/>
              <w:snapToGrid w:val="0"/>
              <w:jc w:val="center"/>
              <w:rPr>
                <w:rFonts w:ascii="宋体" w:eastAsia="宋体" w:hAnsi="宋体" w:cs="宋体"/>
                <w:b/>
                <w:color w:val="000000"/>
                <w:sz w:val="24"/>
                <w:szCs w:val="24"/>
              </w:rPr>
            </w:pPr>
            <w:r>
              <w:rPr>
                <w:rFonts w:ascii="宋体" w:eastAsia="宋体" w:hAnsi="宋体" w:cs="宋体" w:hint="eastAsia"/>
                <w:b/>
                <w:color w:val="000000"/>
                <w:sz w:val="24"/>
                <w:szCs w:val="24"/>
              </w:rPr>
              <w:t>专业技术职称</w:t>
            </w:r>
          </w:p>
          <w:p w:rsidR="005B6FD7" w:rsidRDefault="008B291F">
            <w:pPr>
              <w:adjustRightInd w:val="0"/>
              <w:snapToGrid w:val="0"/>
              <w:jc w:val="center"/>
              <w:rPr>
                <w:rFonts w:ascii="宋体" w:eastAsia="宋体" w:hAnsi="宋体" w:cs="宋体"/>
                <w:b/>
                <w:color w:val="000000"/>
                <w:sz w:val="24"/>
                <w:szCs w:val="24"/>
              </w:rPr>
            </w:pPr>
            <w:r>
              <w:rPr>
                <w:rFonts w:ascii="宋体" w:eastAsia="宋体" w:hAnsi="宋体" w:cs="宋体" w:hint="eastAsia"/>
                <w:b/>
                <w:color w:val="000000"/>
                <w:sz w:val="24"/>
                <w:szCs w:val="24"/>
              </w:rPr>
              <w:t>（职业资格等级）</w:t>
            </w:r>
          </w:p>
        </w:tc>
        <w:tc>
          <w:tcPr>
            <w:tcW w:w="779" w:type="dxa"/>
            <w:tcBorders>
              <w:top w:val="single" w:sz="8" w:space="0" w:color="auto"/>
            </w:tcBorders>
            <w:vAlign w:val="center"/>
          </w:tcPr>
          <w:p w:rsidR="005B6FD7" w:rsidRDefault="008B291F">
            <w:pPr>
              <w:adjustRightInd w:val="0"/>
              <w:snapToGrid w:val="0"/>
              <w:jc w:val="center"/>
              <w:rPr>
                <w:rFonts w:ascii="宋体" w:eastAsia="宋体" w:hAnsi="宋体" w:cs="宋体"/>
                <w:b/>
                <w:color w:val="000000"/>
                <w:sz w:val="24"/>
                <w:szCs w:val="24"/>
              </w:rPr>
            </w:pPr>
            <w:r>
              <w:rPr>
                <w:rFonts w:ascii="宋体" w:eastAsia="宋体" w:hAnsi="宋体" w:cs="宋体" w:hint="eastAsia"/>
                <w:b/>
                <w:color w:val="000000"/>
                <w:sz w:val="24"/>
                <w:szCs w:val="24"/>
              </w:rPr>
              <w:t>人数</w:t>
            </w:r>
          </w:p>
        </w:tc>
      </w:tr>
      <w:tr w:rsidR="005B6FD7">
        <w:trPr>
          <w:trHeight w:val="454"/>
        </w:trPr>
        <w:tc>
          <w:tcPr>
            <w:tcW w:w="802" w:type="dxa"/>
            <w:vAlign w:val="center"/>
          </w:tcPr>
          <w:p w:rsidR="005B6FD7" w:rsidRDefault="008B291F">
            <w:pPr>
              <w:adjustRightInd w:val="0"/>
              <w:snapToGrid w:val="0"/>
              <w:jc w:val="center"/>
              <w:rPr>
                <w:rFonts w:ascii="宋体" w:eastAsia="宋体" w:hAnsi="宋体" w:cs="宋体"/>
                <w:sz w:val="24"/>
                <w:szCs w:val="24"/>
              </w:rPr>
            </w:pPr>
            <w:r>
              <w:rPr>
                <w:rFonts w:ascii="宋体" w:eastAsia="宋体" w:hAnsi="宋体" w:cs="宋体" w:hint="eastAsia"/>
                <w:sz w:val="24"/>
                <w:szCs w:val="24"/>
              </w:rPr>
              <w:t>1</w:t>
            </w:r>
          </w:p>
        </w:tc>
        <w:tc>
          <w:tcPr>
            <w:tcW w:w="1725" w:type="dxa"/>
            <w:vAlign w:val="center"/>
          </w:tcPr>
          <w:p w:rsidR="005B6FD7" w:rsidRDefault="008B291F">
            <w:pPr>
              <w:snapToGrid w:val="0"/>
              <w:jc w:val="center"/>
              <w:rPr>
                <w:rFonts w:ascii="宋体" w:eastAsia="宋体" w:hAnsi="宋体" w:cs="宋体"/>
                <w:sz w:val="24"/>
                <w:szCs w:val="24"/>
              </w:rPr>
            </w:pPr>
            <w:r>
              <w:rPr>
                <w:rFonts w:ascii="宋体" w:eastAsia="宋体" w:hAnsi="宋体" w:cs="宋体" w:hint="eastAsia"/>
                <w:sz w:val="24"/>
                <w:szCs w:val="24"/>
              </w:rPr>
              <w:t>不限专业</w:t>
            </w:r>
          </w:p>
        </w:tc>
        <w:tc>
          <w:tcPr>
            <w:tcW w:w="1665" w:type="dxa"/>
            <w:vAlign w:val="center"/>
          </w:tcPr>
          <w:p w:rsidR="005B6FD7" w:rsidRDefault="008B291F">
            <w:pPr>
              <w:snapToGrid w:val="0"/>
              <w:jc w:val="center"/>
              <w:rPr>
                <w:rFonts w:ascii="宋体" w:eastAsia="宋体" w:hAnsi="宋体" w:cs="宋体"/>
                <w:sz w:val="24"/>
                <w:szCs w:val="24"/>
              </w:rPr>
            </w:pPr>
            <w:r>
              <w:rPr>
                <w:rFonts w:ascii="宋体" w:eastAsia="宋体" w:hAnsi="宋体" w:cs="宋体" w:hint="eastAsia"/>
                <w:sz w:val="24"/>
                <w:szCs w:val="24"/>
              </w:rPr>
              <w:t>检录裁判</w:t>
            </w:r>
          </w:p>
        </w:tc>
        <w:tc>
          <w:tcPr>
            <w:tcW w:w="1485" w:type="dxa"/>
            <w:vAlign w:val="center"/>
          </w:tcPr>
          <w:p w:rsidR="005B6FD7" w:rsidRDefault="008B291F">
            <w:pPr>
              <w:snapToGrid w:val="0"/>
              <w:jc w:val="center"/>
              <w:rPr>
                <w:rFonts w:ascii="宋体" w:eastAsia="宋体" w:hAnsi="宋体" w:cs="宋体"/>
                <w:sz w:val="24"/>
                <w:szCs w:val="24"/>
              </w:rPr>
            </w:pPr>
            <w:r>
              <w:rPr>
                <w:rFonts w:ascii="宋体" w:eastAsia="宋体" w:hAnsi="宋体" w:cs="宋体" w:hint="eastAsia"/>
                <w:sz w:val="24"/>
                <w:szCs w:val="24"/>
              </w:rPr>
              <w:t>无</w:t>
            </w:r>
          </w:p>
        </w:tc>
        <w:tc>
          <w:tcPr>
            <w:tcW w:w="2048" w:type="dxa"/>
            <w:vAlign w:val="center"/>
          </w:tcPr>
          <w:p w:rsidR="005B6FD7" w:rsidRDefault="008B291F">
            <w:pPr>
              <w:snapToGrid w:val="0"/>
              <w:jc w:val="center"/>
              <w:rPr>
                <w:rFonts w:ascii="宋体" w:eastAsia="宋体" w:hAnsi="宋体" w:cs="宋体"/>
                <w:sz w:val="24"/>
                <w:szCs w:val="24"/>
              </w:rPr>
            </w:pPr>
            <w:r>
              <w:rPr>
                <w:rFonts w:ascii="宋体" w:eastAsia="宋体" w:hAnsi="宋体" w:cs="宋体" w:hint="eastAsia"/>
                <w:sz w:val="24"/>
                <w:szCs w:val="24"/>
              </w:rPr>
              <w:t>中级以上</w:t>
            </w:r>
          </w:p>
        </w:tc>
        <w:tc>
          <w:tcPr>
            <w:tcW w:w="779" w:type="dxa"/>
          </w:tcPr>
          <w:p w:rsidR="005B6FD7" w:rsidRDefault="008B291F">
            <w:pPr>
              <w:adjustRightInd w:val="0"/>
              <w:snapToGrid w:val="0"/>
              <w:jc w:val="center"/>
              <w:rPr>
                <w:rFonts w:ascii="宋体" w:eastAsia="宋体" w:hAnsi="宋体" w:cs="宋体"/>
                <w:sz w:val="24"/>
                <w:szCs w:val="24"/>
              </w:rPr>
            </w:pPr>
            <w:r>
              <w:rPr>
                <w:rFonts w:ascii="宋体" w:eastAsia="宋体" w:hAnsi="宋体" w:cs="宋体" w:hint="eastAsia"/>
                <w:sz w:val="24"/>
                <w:szCs w:val="24"/>
              </w:rPr>
              <w:t>4</w:t>
            </w:r>
          </w:p>
        </w:tc>
      </w:tr>
      <w:tr w:rsidR="005B6FD7">
        <w:trPr>
          <w:trHeight w:val="454"/>
        </w:trPr>
        <w:tc>
          <w:tcPr>
            <w:tcW w:w="802" w:type="dxa"/>
            <w:vAlign w:val="center"/>
          </w:tcPr>
          <w:p w:rsidR="005B6FD7" w:rsidRDefault="008B291F">
            <w:pPr>
              <w:adjustRightInd w:val="0"/>
              <w:snapToGrid w:val="0"/>
              <w:jc w:val="center"/>
              <w:rPr>
                <w:rFonts w:ascii="宋体" w:eastAsia="宋体" w:hAnsi="宋体" w:cs="宋体"/>
                <w:sz w:val="24"/>
                <w:szCs w:val="24"/>
              </w:rPr>
            </w:pPr>
            <w:r>
              <w:rPr>
                <w:rFonts w:ascii="宋体" w:eastAsia="宋体" w:hAnsi="宋体" w:cs="宋体" w:hint="eastAsia"/>
                <w:sz w:val="24"/>
                <w:szCs w:val="24"/>
              </w:rPr>
              <w:t>2</w:t>
            </w:r>
          </w:p>
        </w:tc>
        <w:tc>
          <w:tcPr>
            <w:tcW w:w="1725" w:type="dxa"/>
            <w:vAlign w:val="center"/>
          </w:tcPr>
          <w:p w:rsidR="005B6FD7" w:rsidRDefault="008B291F">
            <w:pPr>
              <w:snapToGrid w:val="0"/>
              <w:jc w:val="center"/>
              <w:rPr>
                <w:rFonts w:ascii="宋体" w:eastAsia="宋体" w:hAnsi="宋体" w:cs="宋体"/>
                <w:sz w:val="24"/>
                <w:szCs w:val="24"/>
              </w:rPr>
            </w:pPr>
            <w:r>
              <w:rPr>
                <w:rFonts w:ascii="宋体" w:eastAsia="宋体" w:hAnsi="宋体" w:cs="宋体" w:hint="eastAsia"/>
                <w:sz w:val="24"/>
                <w:szCs w:val="24"/>
              </w:rPr>
              <w:t>不限专业</w:t>
            </w:r>
          </w:p>
        </w:tc>
        <w:tc>
          <w:tcPr>
            <w:tcW w:w="1665" w:type="dxa"/>
            <w:vAlign w:val="center"/>
          </w:tcPr>
          <w:p w:rsidR="005B6FD7" w:rsidRDefault="008B291F">
            <w:pPr>
              <w:snapToGrid w:val="0"/>
              <w:jc w:val="center"/>
              <w:rPr>
                <w:rFonts w:ascii="宋体" w:eastAsia="宋体" w:hAnsi="宋体" w:cs="宋体"/>
                <w:sz w:val="24"/>
                <w:szCs w:val="24"/>
              </w:rPr>
            </w:pPr>
            <w:r>
              <w:rPr>
                <w:rFonts w:ascii="宋体" w:eastAsia="宋体" w:hAnsi="宋体" w:cs="宋体" w:hint="eastAsia"/>
                <w:sz w:val="24"/>
                <w:szCs w:val="24"/>
              </w:rPr>
              <w:t>加密裁判</w:t>
            </w:r>
          </w:p>
        </w:tc>
        <w:tc>
          <w:tcPr>
            <w:tcW w:w="1485" w:type="dxa"/>
            <w:vAlign w:val="center"/>
          </w:tcPr>
          <w:p w:rsidR="005B6FD7" w:rsidRDefault="008B291F">
            <w:pPr>
              <w:snapToGrid w:val="0"/>
              <w:jc w:val="center"/>
              <w:rPr>
                <w:rFonts w:ascii="宋体" w:eastAsia="宋体" w:hAnsi="宋体" w:cs="宋体"/>
                <w:sz w:val="24"/>
                <w:szCs w:val="24"/>
              </w:rPr>
            </w:pPr>
            <w:r>
              <w:rPr>
                <w:rFonts w:ascii="宋体" w:eastAsia="宋体" w:hAnsi="宋体" w:cs="宋体" w:hint="eastAsia"/>
                <w:sz w:val="24"/>
                <w:szCs w:val="24"/>
              </w:rPr>
              <w:t>无</w:t>
            </w:r>
          </w:p>
        </w:tc>
        <w:tc>
          <w:tcPr>
            <w:tcW w:w="2048" w:type="dxa"/>
            <w:vAlign w:val="center"/>
          </w:tcPr>
          <w:p w:rsidR="005B6FD7" w:rsidRDefault="008B291F">
            <w:pPr>
              <w:snapToGrid w:val="0"/>
              <w:jc w:val="center"/>
              <w:rPr>
                <w:rFonts w:ascii="宋体" w:eastAsia="宋体" w:hAnsi="宋体" w:cs="宋体"/>
                <w:sz w:val="24"/>
                <w:szCs w:val="24"/>
              </w:rPr>
            </w:pPr>
            <w:r>
              <w:rPr>
                <w:rFonts w:ascii="宋体" w:eastAsia="宋体" w:hAnsi="宋体" w:cs="宋体" w:hint="eastAsia"/>
                <w:sz w:val="24"/>
                <w:szCs w:val="24"/>
              </w:rPr>
              <w:t>中级以上</w:t>
            </w:r>
          </w:p>
        </w:tc>
        <w:tc>
          <w:tcPr>
            <w:tcW w:w="779" w:type="dxa"/>
          </w:tcPr>
          <w:p w:rsidR="005B6FD7" w:rsidRDefault="008B291F">
            <w:pPr>
              <w:adjustRightInd w:val="0"/>
              <w:snapToGrid w:val="0"/>
              <w:ind w:firstLineChars="100" w:firstLine="240"/>
              <w:rPr>
                <w:rFonts w:ascii="宋体" w:eastAsia="宋体" w:hAnsi="宋体" w:cs="宋体"/>
                <w:sz w:val="24"/>
                <w:szCs w:val="24"/>
              </w:rPr>
            </w:pPr>
            <w:r>
              <w:rPr>
                <w:rFonts w:ascii="宋体" w:eastAsia="宋体" w:hAnsi="宋体" w:cs="宋体" w:hint="eastAsia"/>
                <w:sz w:val="24"/>
                <w:szCs w:val="24"/>
              </w:rPr>
              <w:t>4</w:t>
            </w:r>
          </w:p>
        </w:tc>
      </w:tr>
      <w:tr w:rsidR="005B6FD7">
        <w:trPr>
          <w:trHeight w:val="454"/>
        </w:trPr>
        <w:tc>
          <w:tcPr>
            <w:tcW w:w="802" w:type="dxa"/>
            <w:vAlign w:val="center"/>
          </w:tcPr>
          <w:p w:rsidR="005B6FD7" w:rsidRDefault="008B291F">
            <w:pPr>
              <w:adjustRightInd w:val="0"/>
              <w:snapToGrid w:val="0"/>
              <w:jc w:val="center"/>
              <w:rPr>
                <w:rFonts w:ascii="宋体" w:eastAsia="宋体" w:hAnsi="宋体" w:cs="宋体"/>
                <w:sz w:val="24"/>
                <w:szCs w:val="24"/>
              </w:rPr>
            </w:pPr>
            <w:r>
              <w:rPr>
                <w:rFonts w:ascii="宋体" w:eastAsia="宋体" w:hAnsi="宋体" w:cs="宋体" w:hint="eastAsia"/>
                <w:sz w:val="24"/>
                <w:szCs w:val="24"/>
              </w:rPr>
              <w:t>3</w:t>
            </w:r>
          </w:p>
        </w:tc>
        <w:tc>
          <w:tcPr>
            <w:tcW w:w="1725" w:type="dxa"/>
            <w:vAlign w:val="center"/>
          </w:tcPr>
          <w:p w:rsidR="005B6FD7" w:rsidRDefault="008B291F">
            <w:pPr>
              <w:snapToGrid w:val="0"/>
              <w:jc w:val="center"/>
              <w:rPr>
                <w:rFonts w:ascii="宋体" w:eastAsia="宋体" w:hAnsi="宋体" w:cs="宋体"/>
                <w:sz w:val="24"/>
                <w:szCs w:val="24"/>
              </w:rPr>
            </w:pPr>
            <w:r>
              <w:rPr>
                <w:rFonts w:ascii="宋体" w:eastAsia="宋体" w:hAnsi="宋体" w:cs="宋体" w:hint="eastAsia"/>
                <w:sz w:val="24"/>
                <w:szCs w:val="24"/>
              </w:rPr>
              <w:t>不限专业</w:t>
            </w:r>
          </w:p>
        </w:tc>
        <w:tc>
          <w:tcPr>
            <w:tcW w:w="1665" w:type="dxa"/>
            <w:vAlign w:val="center"/>
          </w:tcPr>
          <w:p w:rsidR="005B6FD7" w:rsidRDefault="008B291F">
            <w:pPr>
              <w:snapToGrid w:val="0"/>
              <w:jc w:val="center"/>
              <w:rPr>
                <w:rFonts w:ascii="宋体" w:eastAsia="宋体" w:hAnsi="宋体" w:cs="宋体"/>
                <w:sz w:val="24"/>
                <w:szCs w:val="24"/>
              </w:rPr>
            </w:pPr>
            <w:r>
              <w:rPr>
                <w:rFonts w:ascii="宋体" w:eastAsia="宋体" w:hAnsi="宋体" w:cs="宋体" w:hint="eastAsia"/>
                <w:sz w:val="24"/>
                <w:szCs w:val="24"/>
              </w:rPr>
              <w:t>现场裁判</w:t>
            </w:r>
          </w:p>
        </w:tc>
        <w:tc>
          <w:tcPr>
            <w:tcW w:w="1485" w:type="dxa"/>
            <w:vAlign w:val="center"/>
          </w:tcPr>
          <w:p w:rsidR="005B6FD7" w:rsidRDefault="008B291F">
            <w:pPr>
              <w:snapToGrid w:val="0"/>
              <w:jc w:val="center"/>
              <w:rPr>
                <w:rFonts w:ascii="宋体" w:eastAsia="宋体" w:hAnsi="宋体" w:cs="宋体"/>
                <w:sz w:val="24"/>
                <w:szCs w:val="24"/>
              </w:rPr>
            </w:pPr>
            <w:r>
              <w:rPr>
                <w:rFonts w:ascii="宋体" w:eastAsia="宋体" w:hAnsi="宋体" w:cs="宋体" w:hint="eastAsia"/>
                <w:sz w:val="24"/>
                <w:szCs w:val="24"/>
              </w:rPr>
              <w:t>现场裁判或沙盘教学经验</w:t>
            </w:r>
          </w:p>
        </w:tc>
        <w:tc>
          <w:tcPr>
            <w:tcW w:w="2048" w:type="dxa"/>
            <w:vAlign w:val="center"/>
          </w:tcPr>
          <w:p w:rsidR="005B6FD7" w:rsidRDefault="008B291F">
            <w:pPr>
              <w:snapToGrid w:val="0"/>
              <w:jc w:val="center"/>
              <w:rPr>
                <w:rFonts w:ascii="宋体" w:eastAsia="宋体" w:hAnsi="宋体" w:cs="宋体"/>
                <w:sz w:val="24"/>
                <w:szCs w:val="24"/>
              </w:rPr>
            </w:pPr>
            <w:r>
              <w:rPr>
                <w:rFonts w:ascii="宋体" w:eastAsia="宋体" w:hAnsi="宋体" w:cs="宋体" w:hint="eastAsia"/>
                <w:sz w:val="24"/>
                <w:szCs w:val="24"/>
              </w:rPr>
              <w:t>中级以上</w:t>
            </w:r>
          </w:p>
        </w:tc>
        <w:tc>
          <w:tcPr>
            <w:tcW w:w="779" w:type="dxa"/>
          </w:tcPr>
          <w:p w:rsidR="005B6FD7" w:rsidRDefault="005B6FD7">
            <w:pPr>
              <w:adjustRightInd w:val="0"/>
              <w:snapToGrid w:val="0"/>
              <w:jc w:val="center"/>
              <w:rPr>
                <w:rFonts w:ascii="宋体" w:eastAsia="宋体" w:hAnsi="宋体" w:cs="宋体"/>
                <w:sz w:val="24"/>
                <w:szCs w:val="24"/>
              </w:rPr>
            </w:pPr>
          </w:p>
          <w:p w:rsidR="005B6FD7" w:rsidRDefault="008B291F">
            <w:pPr>
              <w:adjustRightInd w:val="0"/>
              <w:snapToGrid w:val="0"/>
              <w:jc w:val="center"/>
              <w:rPr>
                <w:rFonts w:ascii="宋体" w:eastAsia="宋体" w:hAnsi="宋体" w:cs="宋体"/>
                <w:sz w:val="24"/>
                <w:szCs w:val="24"/>
              </w:rPr>
            </w:pPr>
            <w:r>
              <w:rPr>
                <w:rFonts w:ascii="宋体" w:eastAsia="宋体" w:hAnsi="宋体" w:cs="宋体" w:hint="eastAsia"/>
                <w:sz w:val="24"/>
                <w:szCs w:val="24"/>
              </w:rPr>
              <w:t>15</w:t>
            </w:r>
          </w:p>
        </w:tc>
      </w:tr>
      <w:tr w:rsidR="005B6FD7">
        <w:trPr>
          <w:trHeight w:val="454"/>
        </w:trPr>
        <w:tc>
          <w:tcPr>
            <w:tcW w:w="802" w:type="dxa"/>
            <w:tcBorders>
              <w:bottom w:val="single" w:sz="8" w:space="0" w:color="auto"/>
            </w:tcBorders>
            <w:vAlign w:val="center"/>
          </w:tcPr>
          <w:p w:rsidR="005B6FD7" w:rsidRDefault="008B291F">
            <w:pPr>
              <w:adjustRightInd w:val="0"/>
              <w:snapToGrid w:val="0"/>
              <w:jc w:val="center"/>
              <w:rPr>
                <w:rFonts w:ascii="宋体" w:eastAsia="宋体" w:hAnsi="宋体" w:cs="宋体"/>
                <w:sz w:val="24"/>
                <w:szCs w:val="24"/>
              </w:rPr>
            </w:pPr>
            <w:r>
              <w:rPr>
                <w:rFonts w:ascii="宋体" w:eastAsia="宋体" w:hAnsi="宋体" w:cs="宋体" w:hint="eastAsia"/>
                <w:bCs/>
                <w:color w:val="000000"/>
                <w:sz w:val="24"/>
                <w:szCs w:val="24"/>
              </w:rPr>
              <w:t>裁判总人数</w:t>
            </w:r>
          </w:p>
        </w:tc>
        <w:tc>
          <w:tcPr>
            <w:tcW w:w="7702" w:type="dxa"/>
            <w:gridSpan w:val="5"/>
            <w:tcBorders>
              <w:bottom w:val="single" w:sz="8" w:space="0" w:color="auto"/>
            </w:tcBorders>
          </w:tcPr>
          <w:p w:rsidR="005B6FD7" w:rsidRDefault="005B6FD7">
            <w:pPr>
              <w:adjustRightInd w:val="0"/>
              <w:snapToGrid w:val="0"/>
              <w:jc w:val="center"/>
              <w:rPr>
                <w:rFonts w:ascii="宋体" w:eastAsia="宋体" w:hAnsi="宋体" w:cs="宋体"/>
                <w:sz w:val="24"/>
                <w:szCs w:val="24"/>
              </w:rPr>
            </w:pPr>
          </w:p>
          <w:p w:rsidR="005B6FD7" w:rsidRDefault="008B291F">
            <w:pPr>
              <w:adjustRightInd w:val="0"/>
              <w:snapToGrid w:val="0"/>
              <w:jc w:val="center"/>
              <w:rPr>
                <w:rFonts w:ascii="宋体" w:eastAsia="宋体" w:hAnsi="宋体" w:cs="宋体"/>
                <w:sz w:val="24"/>
                <w:szCs w:val="24"/>
              </w:rPr>
            </w:pPr>
            <w:r>
              <w:rPr>
                <w:rFonts w:ascii="宋体" w:eastAsia="宋体" w:hAnsi="宋体" w:cs="宋体" w:hint="eastAsia"/>
                <w:sz w:val="24"/>
                <w:szCs w:val="24"/>
              </w:rPr>
              <w:t>23</w:t>
            </w:r>
          </w:p>
        </w:tc>
      </w:tr>
    </w:tbl>
    <w:p w:rsidR="005B6FD7" w:rsidRDefault="005B6FD7">
      <w:pPr>
        <w:snapToGrid w:val="0"/>
        <w:spacing w:line="560" w:lineRule="exact"/>
        <w:ind w:firstLineChars="200" w:firstLine="602"/>
        <w:rPr>
          <w:rFonts w:ascii="黑体" w:eastAsia="黑体" w:hAnsi="黑体" w:cs="黑体"/>
          <w:b/>
          <w:sz w:val="30"/>
          <w:szCs w:val="30"/>
        </w:rPr>
      </w:pPr>
    </w:p>
    <w:p w:rsidR="005B6FD7" w:rsidRDefault="005B6FD7">
      <w:pPr>
        <w:snapToGrid w:val="0"/>
        <w:spacing w:line="560" w:lineRule="exact"/>
        <w:ind w:firstLineChars="200" w:firstLine="602"/>
        <w:rPr>
          <w:rFonts w:ascii="黑体" w:eastAsia="黑体" w:hAnsi="黑体" w:cs="黑体"/>
          <w:b/>
          <w:sz w:val="30"/>
          <w:szCs w:val="30"/>
        </w:rPr>
      </w:pPr>
    </w:p>
    <w:p w:rsidR="005B6FD7" w:rsidRDefault="005B6FD7">
      <w:pPr>
        <w:snapToGrid w:val="0"/>
        <w:spacing w:line="560" w:lineRule="exact"/>
        <w:ind w:firstLineChars="200" w:firstLine="602"/>
        <w:rPr>
          <w:rFonts w:ascii="黑体" w:eastAsia="黑体" w:hAnsi="黑体" w:cs="黑体"/>
          <w:b/>
          <w:sz w:val="30"/>
          <w:szCs w:val="30"/>
        </w:rPr>
      </w:pPr>
    </w:p>
    <w:p w:rsidR="005B6FD7" w:rsidRDefault="005B6FD7">
      <w:pPr>
        <w:snapToGrid w:val="0"/>
        <w:spacing w:line="560" w:lineRule="exact"/>
        <w:ind w:firstLineChars="200" w:firstLine="602"/>
        <w:rPr>
          <w:rFonts w:ascii="黑体" w:eastAsia="黑体" w:hAnsi="黑体" w:cs="黑体"/>
          <w:b/>
          <w:sz w:val="30"/>
          <w:szCs w:val="30"/>
        </w:rPr>
      </w:pPr>
    </w:p>
    <w:p w:rsidR="005B6FD7" w:rsidRDefault="005B6FD7">
      <w:pPr>
        <w:snapToGrid w:val="0"/>
        <w:spacing w:line="560" w:lineRule="exact"/>
        <w:ind w:firstLineChars="200" w:firstLine="602"/>
        <w:rPr>
          <w:rFonts w:ascii="黑体" w:eastAsia="黑体" w:hAnsi="黑体" w:cs="黑体"/>
          <w:b/>
          <w:sz w:val="30"/>
          <w:szCs w:val="30"/>
        </w:rPr>
      </w:pPr>
    </w:p>
    <w:p w:rsidR="005B6FD7" w:rsidRDefault="005B6FD7">
      <w:pPr>
        <w:snapToGrid w:val="0"/>
        <w:spacing w:line="560" w:lineRule="exact"/>
        <w:ind w:firstLineChars="200" w:firstLine="602"/>
        <w:rPr>
          <w:rFonts w:ascii="黑体" w:eastAsia="黑体" w:hAnsi="黑体" w:cs="黑体"/>
          <w:b/>
          <w:sz w:val="30"/>
          <w:szCs w:val="30"/>
        </w:rPr>
      </w:pPr>
    </w:p>
    <w:p w:rsidR="005B6FD7" w:rsidRDefault="005B6FD7">
      <w:pPr>
        <w:snapToGrid w:val="0"/>
        <w:spacing w:line="560" w:lineRule="exact"/>
        <w:ind w:firstLineChars="200" w:firstLine="602"/>
        <w:rPr>
          <w:rFonts w:ascii="黑体" w:eastAsia="黑体" w:hAnsi="黑体" w:cs="黑体"/>
          <w:b/>
          <w:sz w:val="30"/>
          <w:szCs w:val="30"/>
        </w:rPr>
      </w:pPr>
    </w:p>
    <w:p w:rsidR="005B6FD7" w:rsidRDefault="008B291F">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二十、其他</w:t>
      </w:r>
    </w:p>
    <w:p w:rsidR="005B6FD7" w:rsidRDefault="008B291F">
      <w:pPr>
        <w:pStyle w:val="1"/>
        <w:widowControl/>
        <w:spacing w:beforeAutospacing="0" w:afterAutospacing="0" w:line="420" w:lineRule="atLeast"/>
        <w:jc w:val="center"/>
        <w:rPr>
          <w:rFonts w:ascii="黑体" w:eastAsia="黑体" w:hAnsi="黑体" w:cs="黑体" w:hint="default"/>
          <w:sz w:val="30"/>
          <w:szCs w:val="30"/>
        </w:rPr>
      </w:pPr>
      <w:r>
        <w:rPr>
          <w:rFonts w:ascii="黑体" w:eastAsia="黑体" w:hAnsi="黑体" w:cs="黑体"/>
          <w:sz w:val="30"/>
          <w:szCs w:val="30"/>
        </w:rPr>
        <w:t>虚拟的是比赛场景 实战的是商海沉浮</w:t>
      </w:r>
    </w:p>
    <w:p w:rsidR="005B6FD7" w:rsidRDefault="008B291F">
      <w:pPr>
        <w:pStyle w:val="2"/>
        <w:widowControl/>
        <w:spacing w:beforeAutospacing="0" w:afterAutospacing="0" w:line="300" w:lineRule="atLeast"/>
        <w:jc w:val="center"/>
        <w:rPr>
          <w:rFonts w:ascii="微软雅黑" w:eastAsia="微软雅黑" w:hAnsi="微软雅黑" w:cs="微软雅黑" w:hint="default"/>
          <w:color w:val="666666"/>
          <w:szCs w:val="21"/>
        </w:rPr>
      </w:pPr>
      <w:r>
        <w:rPr>
          <w:rFonts w:ascii="黑体" w:eastAsia="黑体" w:hAnsi="黑体" w:cs="黑体"/>
          <w:sz w:val="30"/>
          <w:szCs w:val="30"/>
        </w:rPr>
        <w:t>——2017年全国职业院校技能大赛“中职组沙盘模拟企业经营”赛项在津举办</w:t>
      </w:r>
    </w:p>
    <w:p w:rsidR="005B6FD7" w:rsidRDefault="008B291F">
      <w:pPr>
        <w:widowControl/>
        <w:spacing w:line="560" w:lineRule="atLeast"/>
        <w:jc w:val="left"/>
        <w:rPr>
          <w:rFonts w:ascii="仿宋_GB2312" w:eastAsia="仿宋_GB2312" w:hAnsi="仿宋_GB2312" w:cs="仿宋_GB2312"/>
          <w:color w:val="666666"/>
          <w:kern w:val="0"/>
          <w:sz w:val="30"/>
          <w:szCs w:val="30"/>
        </w:rPr>
      </w:pPr>
      <w:r>
        <w:rPr>
          <w:rFonts w:ascii="仿宋_GB2312" w:eastAsia="仿宋_GB2312" w:hAnsi="仿宋_GB2312" w:cs="仿宋_GB2312" w:hint="eastAsia"/>
          <w:kern w:val="0"/>
          <w:sz w:val="30"/>
          <w:szCs w:val="30"/>
        </w:rPr>
        <w:t xml:space="preserve">    10日上午8时，比赛正式开始。来自全国35个省、自治区、直辖市、新疆生产建设兵团、计划单列市64个代表队的256名选手，齐聚一堂，同场竞技，进行为期一天半的激烈角逐。</w:t>
      </w:r>
    </w:p>
    <w:p w:rsidR="005B6FD7" w:rsidRDefault="008B291F">
      <w:pPr>
        <w:widowControl/>
        <w:spacing w:line="560" w:lineRule="atLeast"/>
        <w:jc w:val="center"/>
        <w:rPr>
          <w:rFonts w:ascii="仿宋_GB2312" w:eastAsia="仿宋_GB2312" w:hAnsi="仿宋_GB2312" w:cs="仿宋_GB2312"/>
          <w:kern w:val="0"/>
          <w:sz w:val="30"/>
          <w:szCs w:val="30"/>
        </w:rPr>
      </w:pPr>
      <w:r>
        <w:rPr>
          <w:rFonts w:ascii="微软雅黑" w:eastAsia="微软雅黑" w:hAnsi="微软雅黑" w:cs="微软雅黑" w:hint="eastAsia"/>
          <w:noProof/>
          <w:color w:val="666666"/>
          <w:kern w:val="0"/>
          <w:szCs w:val="21"/>
        </w:rPr>
        <w:drawing>
          <wp:inline distT="0" distB="0" distL="114300" distR="114300">
            <wp:extent cx="5544820" cy="3611245"/>
            <wp:effectExtent l="0" t="0" r="17780" b="8255"/>
            <wp:docPr id="10"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IMG_256"/>
                    <pic:cNvPicPr>
                      <a:picLocks noChangeAspect="1"/>
                    </pic:cNvPicPr>
                  </pic:nvPicPr>
                  <pic:blipFill>
                    <a:blip r:embed="rId11"/>
                    <a:stretch>
                      <a:fillRect/>
                    </a:stretch>
                  </pic:blipFill>
                  <pic:spPr>
                    <a:xfrm>
                      <a:off x="0" y="0"/>
                      <a:ext cx="5544820" cy="3611245"/>
                    </a:xfrm>
                    <a:prstGeom prst="rect">
                      <a:avLst/>
                    </a:prstGeom>
                    <a:noFill/>
                    <a:ln w="9525">
                      <a:noFill/>
                    </a:ln>
                  </pic:spPr>
                </pic:pic>
              </a:graphicData>
            </a:graphic>
          </wp:inline>
        </w:drawing>
      </w:r>
      <w:r>
        <w:rPr>
          <w:rFonts w:ascii="仿宋_GB2312" w:eastAsia="仿宋_GB2312" w:hAnsi="仿宋_GB2312" w:cs="仿宋_GB2312" w:hint="eastAsia"/>
          <w:kern w:val="0"/>
          <w:sz w:val="30"/>
          <w:szCs w:val="30"/>
        </w:rPr>
        <w:t>比赛现场</w:t>
      </w:r>
    </w:p>
    <w:p w:rsidR="005B6FD7" w:rsidRDefault="008B291F">
      <w:pPr>
        <w:widowControl/>
        <w:spacing w:line="560" w:lineRule="exact"/>
        <w:jc w:val="left"/>
        <w:rPr>
          <w:rFonts w:ascii="仿宋_GB2312" w:eastAsia="仿宋_GB2312" w:hAnsi="仿宋_GB2312" w:cs="仿宋_GB2312"/>
          <w:sz w:val="30"/>
          <w:szCs w:val="30"/>
        </w:rPr>
      </w:pPr>
      <w:r>
        <w:rPr>
          <w:rFonts w:ascii="仿宋_GB2312" w:eastAsia="仿宋_GB2312" w:hAnsi="仿宋_GB2312" w:cs="仿宋_GB2312" w:hint="eastAsia"/>
          <w:kern w:val="0"/>
          <w:sz w:val="30"/>
          <w:szCs w:val="30"/>
        </w:rPr>
        <w:lastRenderedPageBreak/>
        <w:t xml:space="preserve">　  5月9日，2017年全国职业院校技能大赛“中职组沙盘模拟企业经营”赛项开赛式在天津红星职专体育馆举行，10日上午8时，比赛正式开始。来自全国35个省、自治区、直辖市、新疆生产建设兵团、计划单列市64个代表队的256名选手，齐聚一堂，同场竞技，进行为期一天半的激烈角逐。</w:t>
      </w:r>
    </w:p>
    <w:p w:rsidR="005B6FD7" w:rsidRDefault="008B291F">
      <w:pPr>
        <w:widowControl/>
        <w:spacing w:line="560" w:lineRule="exact"/>
        <w:jc w:val="left"/>
        <w:rPr>
          <w:rFonts w:ascii="仿宋_GB2312" w:eastAsia="仿宋_GB2312" w:hAnsi="仿宋_GB2312" w:cs="仿宋_GB2312"/>
          <w:sz w:val="30"/>
          <w:szCs w:val="30"/>
        </w:rPr>
      </w:pPr>
      <w:r>
        <w:rPr>
          <w:rFonts w:ascii="仿宋_GB2312" w:eastAsia="仿宋_GB2312" w:hAnsi="仿宋_GB2312" w:cs="仿宋_GB2312" w:hint="eastAsia"/>
          <w:kern w:val="0"/>
          <w:sz w:val="30"/>
          <w:szCs w:val="30"/>
        </w:rPr>
        <w:t xml:space="preserve">　　比赛中，每个参赛队作为一个经营团队，分别接手一个制造型企业，在仿真的竞争市场环境中，分别扮演总经理、财务总监、运营总监、营销总监4个岗位的从业人员，从市场调研、产品研发、财务管理、企业运营、市场营销各个环节模拟企业经营，连续从事6个会计年度的模拟企业经营活动。最后，以模拟企业盈利情况作为评分标准。此赛项具有极强的实践性和趣味性，在竞赛中，选手们将遇到企业经营中常出现的各种典型问题以及市场中变幻莫测的各种情况。参赛选手需要沉着冷静，分析问题，制定决策，并且加以执行，解决问题，从而实现企业盈利及可持续发展。</w:t>
      </w:r>
    </w:p>
    <w:p w:rsidR="005B6FD7" w:rsidRDefault="008B291F">
      <w:pPr>
        <w:widowControl/>
        <w:spacing w:line="560" w:lineRule="exact"/>
        <w:jc w:val="left"/>
        <w:rPr>
          <w:rFonts w:ascii="仿宋_GB2312" w:eastAsia="仿宋_GB2312" w:hAnsi="仿宋_GB2312" w:cs="仿宋_GB2312"/>
          <w:sz w:val="30"/>
          <w:szCs w:val="30"/>
        </w:rPr>
      </w:pPr>
      <w:r>
        <w:rPr>
          <w:rFonts w:ascii="仿宋_GB2312" w:eastAsia="仿宋_GB2312" w:hAnsi="仿宋_GB2312" w:cs="仿宋_GB2312" w:hint="eastAsia"/>
          <w:kern w:val="0"/>
          <w:sz w:val="30"/>
          <w:szCs w:val="30"/>
        </w:rPr>
        <w:t xml:space="preserve">　　比赛期间，同步设立赛事直播间，直播现场实况，</w:t>
      </w:r>
      <w:proofErr w:type="gramStart"/>
      <w:r>
        <w:rPr>
          <w:rFonts w:ascii="仿宋_GB2312" w:eastAsia="仿宋_GB2312" w:hAnsi="仿宋_GB2312" w:cs="仿宋_GB2312" w:hint="eastAsia"/>
          <w:kern w:val="0"/>
          <w:sz w:val="30"/>
          <w:szCs w:val="30"/>
        </w:rPr>
        <w:t>秉</w:t>
      </w:r>
      <w:proofErr w:type="gramEnd"/>
      <w:r>
        <w:rPr>
          <w:rFonts w:ascii="仿宋_GB2312" w:eastAsia="仿宋_GB2312" w:hAnsi="仿宋_GB2312" w:cs="仿宋_GB2312" w:hint="eastAsia"/>
          <w:kern w:val="0"/>
          <w:sz w:val="30"/>
          <w:szCs w:val="30"/>
        </w:rPr>
        <w:t>行公开、公正、透明的原则及时追踪赛场进程，并邀请优秀的高职院校带队教师对现场数据进行初步解读。</w:t>
      </w:r>
    </w:p>
    <w:p w:rsidR="005B6FD7" w:rsidRDefault="008B291F">
      <w:pPr>
        <w:widowControl/>
        <w:spacing w:line="420" w:lineRule="atLeast"/>
        <w:jc w:val="center"/>
        <w:rPr>
          <w:rFonts w:ascii="仿宋_GB2312" w:eastAsia="仿宋_GB2312" w:hAnsi="仿宋_GB2312" w:cs="仿宋_GB2312"/>
          <w:sz w:val="30"/>
          <w:szCs w:val="30"/>
        </w:rPr>
      </w:pPr>
      <w:r>
        <w:rPr>
          <w:rFonts w:ascii="微软雅黑" w:eastAsia="微软雅黑" w:hAnsi="微软雅黑" w:cs="微软雅黑" w:hint="eastAsia"/>
          <w:noProof/>
          <w:kern w:val="0"/>
          <w:szCs w:val="21"/>
        </w:rPr>
        <w:lastRenderedPageBreak/>
        <w:drawing>
          <wp:inline distT="0" distB="0" distL="114300" distR="114300">
            <wp:extent cx="5359400" cy="3477260"/>
            <wp:effectExtent l="0" t="0" r="12700" b="8890"/>
            <wp:docPr id="11" name="图片 7"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IMG_257"/>
                    <pic:cNvPicPr>
                      <a:picLocks noChangeAspect="1"/>
                    </pic:cNvPicPr>
                  </pic:nvPicPr>
                  <pic:blipFill>
                    <a:blip r:embed="rId12"/>
                    <a:stretch>
                      <a:fillRect/>
                    </a:stretch>
                  </pic:blipFill>
                  <pic:spPr>
                    <a:xfrm>
                      <a:off x="0" y="0"/>
                      <a:ext cx="5359400" cy="3477260"/>
                    </a:xfrm>
                    <a:prstGeom prst="rect">
                      <a:avLst/>
                    </a:prstGeom>
                    <a:noFill/>
                    <a:ln w="9525">
                      <a:noFill/>
                    </a:ln>
                  </pic:spPr>
                </pic:pic>
              </a:graphicData>
            </a:graphic>
          </wp:inline>
        </w:drawing>
      </w:r>
      <w:r>
        <w:rPr>
          <w:rFonts w:ascii="仿宋_GB2312" w:eastAsia="仿宋_GB2312" w:hAnsi="仿宋_GB2312" w:cs="仿宋_GB2312" w:hint="eastAsia"/>
          <w:kern w:val="0"/>
          <w:sz w:val="30"/>
          <w:szCs w:val="30"/>
        </w:rPr>
        <w:t>现场直播赛场实况</w:t>
      </w:r>
    </w:p>
    <w:p w:rsidR="005B6FD7" w:rsidRDefault="008B291F">
      <w:pPr>
        <w:widowControl/>
        <w:spacing w:line="560" w:lineRule="exact"/>
        <w:jc w:val="left"/>
        <w:rPr>
          <w:rFonts w:ascii="仿宋_GB2312" w:eastAsia="仿宋_GB2312" w:hAnsi="仿宋_GB2312" w:cs="仿宋_GB2312"/>
          <w:sz w:val="30"/>
          <w:szCs w:val="30"/>
        </w:rPr>
      </w:pPr>
      <w:r>
        <w:rPr>
          <w:rFonts w:ascii="仿宋_GB2312" w:eastAsia="仿宋_GB2312" w:hAnsi="仿宋_GB2312" w:cs="仿宋_GB2312" w:hint="eastAsia"/>
          <w:kern w:val="0"/>
          <w:sz w:val="30"/>
          <w:szCs w:val="30"/>
        </w:rPr>
        <w:t xml:space="preserve">　　天津市红桥区教育局局长、赛项组委会主任刘殿良表示：“职业教育的精彩源于创新，加快发展现代职业教育，是打造技能强国，促进大众创业、万众创新的战略之举，我们的赛项获得了极高的评价和良好的声誉，相信通过我们大家的共同努力，此次竞赛一定又是一个安全、顺畅、公平、公正，进而展示中职学生技能素养的盛会。”</w:t>
      </w:r>
    </w:p>
    <w:p w:rsidR="005B6FD7" w:rsidRDefault="008B291F">
      <w:pPr>
        <w:widowControl/>
        <w:spacing w:line="560" w:lineRule="exact"/>
        <w:jc w:val="left"/>
        <w:rPr>
          <w:rFonts w:ascii="仿宋_GB2312" w:eastAsia="仿宋_GB2312" w:hAnsi="仿宋_GB2312" w:cs="仿宋_GB2312"/>
          <w:sz w:val="30"/>
          <w:szCs w:val="30"/>
        </w:rPr>
      </w:pPr>
      <w:r>
        <w:rPr>
          <w:rFonts w:ascii="仿宋_GB2312" w:eastAsia="仿宋_GB2312" w:hAnsi="仿宋_GB2312" w:cs="仿宋_GB2312" w:hint="eastAsia"/>
          <w:kern w:val="0"/>
          <w:sz w:val="30"/>
          <w:szCs w:val="30"/>
        </w:rPr>
        <w:t xml:space="preserve">　　天津市红桥区人民政府副区长、赛项组委会名誉主任刘玉明表示：“大赛的设立，有利于提升职业教育水平和完善高素质技能型人才培养机制，对服务经济社会发展具有重要意义。一年一度的全国职业院校技能大赛，现已成为职业院校与企业合作交流的平台、职业教育教学效果检验的平台、职校学生事业发展的平台。通过这个宝贵的平台，一批批优秀职校学生脱颖而出、走上创新创业之路；通过这个精彩的平台，职业院校相互切磋，教学</w:t>
      </w:r>
      <w:r>
        <w:rPr>
          <w:rFonts w:ascii="仿宋_GB2312" w:eastAsia="仿宋_GB2312" w:hAnsi="仿宋_GB2312" w:cs="仿宋_GB2312" w:hint="eastAsia"/>
          <w:kern w:val="0"/>
          <w:sz w:val="30"/>
          <w:szCs w:val="30"/>
        </w:rPr>
        <w:lastRenderedPageBreak/>
        <w:t>质量持续攀升；通过这个友谊的平台，企业与职教联手，加大技能型人才培养力度，加快职业教育社会化和国际化脚步。”</w:t>
      </w:r>
    </w:p>
    <w:p w:rsidR="005B6FD7" w:rsidRDefault="008B291F">
      <w:pPr>
        <w:widowControl/>
        <w:spacing w:line="560" w:lineRule="exact"/>
        <w:jc w:val="left"/>
        <w:rPr>
          <w:rFonts w:ascii="仿宋_GB2312" w:eastAsia="仿宋_GB2312" w:hAnsi="仿宋_GB2312" w:cs="仿宋_GB2312"/>
          <w:sz w:val="30"/>
          <w:szCs w:val="30"/>
        </w:rPr>
      </w:pPr>
      <w:r>
        <w:rPr>
          <w:rFonts w:ascii="仿宋_GB2312" w:eastAsia="仿宋_GB2312" w:hAnsi="仿宋_GB2312" w:cs="仿宋_GB2312" w:hint="eastAsia"/>
          <w:kern w:val="0"/>
          <w:sz w:val="30"/>
          <w:szCs w:val="30"/>
        </w:rPr>
        <w:t xml:space="preserve">　　新道科技股份有限公司高级副总裁周前进先生在致辞中表示：新道科技希望通过大赛，充分展现学生团队协作意识、沟通能力、演讲技巧，同时，通过担任不同的职业角色，加深学生对职业发展要求的认识，更加明确未来的职业发展方向。毕业后成为企业受欢迎的员工，为国家经济发展尽绵薄之力，报效祖国，实现自己的梦想。</w:t>
      </w:r>
    </w:p>
    <w:p w:rsidR="005B6FD7" w:rsidRDefault="008B291F">
      <w:pPr>
        <w:widowControl/>
        <w:spacing w:line="560" w:lineRule="exact"/>
        <w:jc w:val="left"/>
        <w:rPr>
          <w:rFonts w:ascii="仿宋_GB2312" w:eastAsia="仿宋_GB2312" w:hAnsi="仿宋_GB2312" w:cs="仿宋_GB2312"/>
          <w:sz w:val="30"/>
          <w:szCs w:val="30"/>
        </w:rPr>
      </w:pPr>
      <w:r>
        <w:rPr>
          <w:rFonts w:ascii="仿宋_GB2312" w:eastAsia="仿宋_GB2312" w:hAnsi="仿宋_GB2312" w:cs="仿宋_GB2312" w:hint="eastAsia"/>
          <w:kern w:val="0"/>
          <w:sz w:val="30"/>
          <w:szCs w:val="30"/>
        </w:rPr>
        <w:t xml:space="preserve">　　作为已经两次带队参加国赛的指导教师、天津市红星职业中等专业学校的徐宝文老师表示：“感觉沙盘比赛区别于传统教育以老师为主的教学方式，沙盘在模拟实训中以学生为主导，可以提供学生在过程中发现问题、解决问题的能力，参加过比赛的学生，能看到学生在解决问题的能力上有明显的提高。”来自北京国际职业教育学校的学生吴燕说：“我是一个学习财务的学生，大赛最吸引我的地方是让我感到很刺激，比赛的模式很自由、玩起来很有乐趣，同时也能认识很多朋友。”</w:t>
      </w:r>
    </w:p>
    <w:p w:rsidR="005B6FD7" w:rsidRDefault="008B291F">
      <w:pPr>
        <w:widowControl/>
        <w:spacing w:line="560" w:lineRule="exact"/>
        <w:jc w:val="left"/>
        <w:rPr>
          <w:rFonts w:ascii="仿宋_GB2312" w:eastAsia="仿宋_GB2312" w:hAnsi="仿宋_GB2312" w:cs="仿宋_GB2312"/>
          <w:sz w:val="30"/>
          <w:szCs w:val="30"/>
        </w:rPr>
      </w:pPr>
      <w:r>
        <w:rPr>
          <w:rFonts w:ascii="仿宋_GB2312" w:eastAsia="仿宋_GB2312" w:hAnsi="仿宋_GB2312" w:cs="仿宋_GB2312" w:hint="eastAsia"/>
          <w:kern w:val="0"/>
          <w:sz w:val="30"/>
          <w:szCs w:val="30"/>
        </w:rPr>
        <w:t xml:space="preserve">　　出席5月9日的开赛式的还有全国职业院校技能大赛执委会办公室主任白汉刚，天津市教育委员会职业技术教育中心主任孟志咸，中国职业教育学</w:t>
      </w:r>
      <w:proofErr w:type="gramStart"/>
      <w:r>
        <w:rPr>
          <w:rFonts w:ascii="仿宋_GB2312" w:eastAsia="仿宋_GB2312" w:hAnsi="仿宋_GB2312" w:cs="仿宋_GB2312" w:hint="eastAsia"/>
          <w:kern w:val="0"/>
          <w:sz w:val="30"/>
          <w:szCs w:val="30"/>
        </w:rPr>
        <w:t>会商科</w:t>
      </w:r>
      <w:proofErr w:type="gramEnd"/>
      <w:r>
        <w:rPr>
          <w:rFonts w:ascii="仿宋_GB2312" w:eastAsia="仿宋_GB2312" w:hAnsi="仿宋_GB2312" w:cs="仿宋_GB2312" w:hint="eastAsia"/>
          <w:kern w:val="0"/>
          <w:sz w:val="30"/>
          <w:szCs w:val="30"/>
        </w:rPr>
        <w:t>专业委员会主任、赛项组委会副主任张大成，天津市教育委员会</w:t>
      </w:r>
      <w:proofErr w:type="gramStart"/>
      <w:r>
        <w:rPr>
          <w:rFonts w:ascii="仿宋_GB2312" w:eastAsia="仿宋_GB2312" w:hAnsi="仿宋_GB2312" w:cs="仿宋_GB2312" w:hint="eastAsia"/>
          <w:kern w:val="0"/>
          <w:sz w:val="30"/>
          <w:szCs w:val="30"/>
        </w:rPr>
        <w:t>中职处副处长</w:t>
      </w:r>
      <w:proofErr w:type="gramEnd"/>
      <w:r>
        <w:rPr>
          <w:rFonts w:ascii="仿宋_GB2312" w:eastAsia="仿宋_GB2312" w:hAnsi="仿宋_GB2312" w:cs="仿宋_GB2312" w:hint="eastAsia"/>
          <w:kern w:val="0"/>
          <w:sz w:val="30"/>
          <w:szCs w:val="30"/>
        </w:rPr>
        <w:t>张峰，天津市教育委员会职业技术教育中心副主任刘彦洁，天津市红桥区教育局副局长、赛项执委会副主任刘志坚，中国职业技术教育学</w:t>
      </w:r>
      <w:proofErr w:type="gramStart"/>
      <w:r>
        <w:rPr>
          <w:rFonts w:ascii="仿宋_GB2312" w:eastAsia="仿宋_GB2312" w:hAnsi="仿宋_GB2312" w:cs="仿宋_GB2312" w:hint="eastAsia"/>
          <w:kern w:val="0"/>
          <w:sz w:val="30"/>
          <w:szCs w:val="30"/>
        </w:rPr>
        <w:t>会商科</w:t>
      </w:r>
      <w:proofErr w:type="gramEnd"/>
      <w:r>
        <w:rPr>
          <w:rFonts w:ascii="仿宋_GB2312" w:eastAsia="仿宋_GB2312" w:hAnsi="仿宋_GB2312" w:cs="仿宋_GB2312" w:hint="eastAsia"/>
          <w:kern w:val="0"/>
          <w:sz w:val="30"/>
          <w:szCs w:val="30"/>
        </w:rPr>
        <w:t>专业委员会副主任、赛项专家组长、河南经贸职业学院党委书记王金台、2017年全国职业院校技能大赛中职组沙盘模拟企业经营赛</w:t>
      </w:r>
      <w:r>
        <w:rPr>
          <w:rFonts w:ascii="仿宋_GB2312" w:eastAsia="仿宋_GB2312" w:hAnsi="仿宋_GB2312" w:cs="仿宋_GB2312" w:hint="eastAsia"/>
          <w:kern w:val="0"/>
          <w:sz w:val="30"/>
          <w:szCs w:val="30"/>
        </w:rPr>
        <w:lastRenderedPageBreak/>
        <w:t>项总裁判长、浙江商业职业技术学院财会金融学院副院长孔国军，天津市红桥区职教中心党委书记、赛项执委会副主任张如春，天津市红星职业中等专业学校校长、赛项执委会副主任郭荔，新道科技股份有限公司天津区总经理蒋晓燕等专家领导。</w:t>
      </w:r>
    </w:p>
    <w:p w:rsidR="005B6FD7" w:rsidRDefault="008B291F">
      <w:pPr>
        <w:widowControl/>
        <w:spacing w:line="560" w:lineRule="exact"/>
        <w:jc w:val="left"/>
        <w:rPr>
          <w:rFonts w:ascii="仿宋_GB2312" w:eastAsia="仿宋_GB2312" w:hAnsi="仿宋_GB2312" w:cs="仿宋_GB2312"/>
          <w:sz w:val="30"/>
          <w:szCs w:val="30"/>
        </w:rPr>
      </w:pPr>
      <w:r>
        <w:rPr>
          <w:rFonts w:ascii="仿宋_GB2312" w:eastAsia="仿宋_GB2312" w:hAnsi="仿宋_GB2312" w:cs="仿宋_GB2312" w:hint="eastAsia"/>
          <w:kern w:val="0"/>
          <w:sz w:val="30"/>
          <w:szCs w:val="30"/>
        </w:rPr>
        <w:t xml:space="preserve">　　据悉，此赛项由教育部、天津市人民政府等37个部委单位联合主办，天津市教育委员会、天津市红桥区人民政府承办，天津市红星职专、新道科技股份有限公司等机构协办。新道科技作为独家技术支持单位，在整场比赛中，为比赛选手提供以企业经营管理沙盘和新道新创业者电子沙盘相结合的竞赛平台。大赛同期还将举行“津冀联手 普职融通”沙盘模拟表演赛、教育新道校企对接会（天津站）、全国各赛区技能比赛和全国职业院校技能大赛十年成果回顾等体验活动。</w:t>
      </w:r>
    </w:p>
    <w:p w:rsidR="005B6FD7" w:rsidRDefault="005B6FD7">
      <w:pPr>
        <w:snapToGrid w:val="0"/>
        <w:spacing w:line="560" w:lineRule="exact"/>
        <w:ind w:firstLineChars="200" w:firstLine="600"/>
        <w:rPr>
          <w:rFonts w:ascii="仿宋_GB2312" w:eastAsia="仿宋_GB2312" w:hAnsi="仿宋_GB2312" w:cs="仿宋_GB2312"/>
          <w:sz w:val="30"/>
          <w:szCs w:val="30"/>
        </w:rPr>
      </w:pPr>
    </w:p>
    <w:sectPr w:rsidR="005B6FD7">
      <w:footerReference w:type="default" r:id="rId1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E3A" w:rsidRDefault="000D0E3A">
      <w:r>
        <w:separator/>
      </w:r>
    </w:p>
  </w:endnote>
  <w:endnote w:type="continuationSeparator" w:id="0">
    <w:p w:rsidR="000D0E3A" w:rsidRDefault="000D0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A0000287" w:usb1="28CF3C52" w:usb2="00000016" w:usb3="00000000" w:csb0="0004001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FD7" w:rsidRDefault="008B291F">
    <w:pPr>
      <w:pStyle w:val="a6"/>
      <w:jc w:val="center"/>
    </w:pPr>
    <w:r>
      <w:fldChar w:fldCharType="begin"/>
    </w:r>
    <w:r>
      <w:instrText xml:space="preserve"> PAGE  \* MERGEFORMAT </w:instrText>
    </w:r>
    <w:r>
      <w:fldChar w:fldCharType="separate"/>
    </w:r>
    <w:r w:rsidR="00EE3B57">
      <w:rPr>
        <w:noProof/>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E3A" w:rsidRDefault="000D0E3A">
      <w:r>
        <w:separator/>
      </w:r>
    </w:p>
  </w:footnote>
  <w:footnote w:type="continuationSeparator" w:id="0">
    <w:p w:rsidR="000D0E3A" w:rsidRDefault="000D0E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E0F22"/>
    <w:rsid w:val="00014841"/>
    <w:rsid w:val="00042892"/>
    <w:rsid w:val="000519E7"/>
    <w:rsid w:val="000D0E3A"/>
    <w:rsid w:val="000D1783"/>
    <w:rsid w:val="000D7B19"/>
    <w:rsid w:val="000E5D6E"/>
    <w:rsid w:val="00130C07"/>
    <w:rsid w:val="00136F52"/>
    <w:rsid w:val="00143A3A"/>
    <w:rsid w:val="001B03B6"/>
    <w:rsid w:val="002551BA"/>
    <w:rsid w:val="002E1579"/>
    <w:rsid w:val="00356C94"/>
    <w:rsid w:val="00370B1B"/>
    <w:rsid w:val="00381692"/>
    <w:rsid w:val="003E34BF"/>
    <w:rsid w:val="003F45F1"/>
    <w:rsid w:val="00426910"/>
    <w:rsid w:val="00447B0C"/>
    <w:rsid w:val="004643EE"/>
    <w:rsid w:val="004652C2"/>
    <w:rsid w:val="00481875"/>
    <w:rsid w:val="004D0E13"/>
    <w:rsid w:val="004D6E39"/>
    <w:rsid w:val="004E0F22"/>
    <w:rsid w:val="004F538E"/>
    <w:rsid w:val="00592FD0"/>
    <w:rsid w:val="005B6FD7"/>
    <w:rsid w:val="00686437"/>
    <w:rsid w:val="00702B0D"/>
    <w:rsid w:val="00724147"/>
    <w:rsid w:val="00745775"/>
    <w:rsid w:val="00781D9E"/>
    <w:rsid w:val="00791CB2"/>
    <w:rsid w:val="008140FF"/>
    <w:rsid w:val="00816E9F"/>
    <w:rsid w:val="008266CE"/>
    <w:rsid w:val="00866899"/>
    <w:rsid w:val="0089386F"/>
    <w:rsid w:val="008A0C3D"/>
    <w:rsid w:val="008B291F"/>
    <w:rsid w:val="00903032"/>
    <w:rsid w:val="00907625"/>
    <w:rsid w:val="009A0948"/>
    <w:rsid w:val="009F0F57"/>
    <w:rsid w:val="00A176EB"/>
    <w:rsid w:val="00A6027A"/>
    <w:rsid w:val="00AD6F5E"/>
    <w:rsid w:val="00AE50B8"/>
    <w:rsid w:val="00B0466E"/>
    <w:rsid w:val="00B650C3"/>
    <w:rsid w:val="00B860D9"/>
    <w:rsid w:val="00BD0E09"/>
    <w:rsid w:val="00C23559"/>
    <w:rsid w:val="00C91387"/>
    <w:rsid w:val="00CA54BE"/>
    <w:rsid w:val="00CA6055"/>
    <w:rsid w:val="00CA77A0"/>
    <w:rsid w:val="00CB048A"/>
    <w:rsid w:val="00CB11BE"/>
    <w:rsid w:val="00CE5265"/>
    <w:rsid w:val="00CE5C5F"/>
    <w:rsid w:val="00D031ED"/>
    <w:rsid w:val="00E60BFD"/>
    <w:rsid w:val="00E82874"/>
    <w:rsid w:val="00EA2646"/>
    <w:rsid w:val="00EA4C93"/>
    <w:rsid w:val="00EE3B57"/>
    <w:rsid w:val="00EF305B"/>
    <w:rsid w:val="00F26FF5"/>
    <w:rsid w:val="00F43C5F"/>
    <w:rsid w:val="00FE0C21"/>
    <w:rsid w:val="00FF4FE8"/>
    <w:rsid w:val="01AD6A44"/>
    <w:rsid w:val="040F57A7"/>
    <w:rsid w:val="10123432"/>
    <w:rsid w:val="10907F32"/>
    <w:rsid w:val="116879ED"/>
    <w:rsid w:val="12AA548D"/>
    <w:rsid w:val="15405F2B"/>
    <w:rsid w:val="1D952676"/>
    <w:rsid w:val="20F83B8C"/>
    <w:rsid w:val="215851E4"/>
    <w:rsid w:val="21891B74"/>
    <w:rsid w:val="23FB3B77"/>
    <w:rsid w:val="25D7401E"/>
    <w:rsid w:val="27184764"/>
    <w:rsid w:val="276B2284"/>
    <w:rsid w:val="28627691"/>
    <w:rsid w:val="2A7315AD"/>
    <w:rsid w:val="2BC81D84"/>
    <w:rsid w:val="342F0580"/>
    <w:rsid w:val="3509693E"/>
    <w:rsid w:val="37FB0BEF"/>
    <w:rsid w:val="3AEE4862"/>
    <w:rsid w:val="3AF63434"/>
    <w:rsid w:val="3B2C74ED"/>
    <w:rsid w:val="3E646312"/>
    <w:rsid w:val="3EAC058F"/>
    <w:rsid w:val="3F9D2A6D"/>
    <w:rsid w:val="43D04E9E"/>
    <w:rsid w:val="445B45B1"/>
    <w:rsid w:val="488E576C"/>
    <w:rsid w:val="489D6F43"/>
    <w:rsid w:val="499068F6"/>
    <w:rsid w:val="4E011963"/>
    <w:rsid w:val="4FE75006"/>
    <w:rsid w:val="51DB12F6"/>
    <w:rsid w:val="53EF609C"/>
    <w:rsid w:val="5DF36D56"/>
    <w:rsid w:val="5E4A6A02"/>
    <w:rsid w:val="5F9C1C10"/>
    <w:rsid w:val="612E0FF9"/>
    <w:rsid w:val="62411A37"/>
    <w:rsid w:val="62860A3B"/>
    <w:rsid w:val="6A241659"/>
    <w:rsid w:val="6D674BED"/>
    <w:rsid w:val="7259159D"/>
    <w:rsid w:val="728E2707"/>
    <w:rsid w:val="784C2997"/>
    <w:rsid w:val="7B3738DA"/>
    <w:rsid w:val="7CA83DD5"/>
    <w:rsid w:val="7CEA2530"/>
    <w:rsid w:val="7DE658A4"/>
    <w:rsid w:val="7FC12E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semiHidden="1" w:unhideWhenUsed="1" w:qFormat="1"/>
    <w:lsdException w:name="footnote reference" w:qFormat="1"/>
    <w:lsdException w:name="annotation reference"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pPr>
      <w:spacing w:beforeAutospacing="1" w:afterAutospacing="1"/>
      <w:jc w:val="left"/>
      <w:outlineLvl w:val="0"/>
    </w:pPr>
    <w:rPr>
      <w:rFonts w:ascii="宋体" w:eastAsia="宋体" w:hAnsi="宋体" w:cs="Times New Roman" w:hint="eastAsia"/>
      <w:b/>
      <w:kern w:val="44"/>
      <w:sz w:val="48"/>
      <w:szCs w:val="48"/>
    </w:rPr>
  </w:style>
  <w:style w:type="paragraph" w:styleId="2">
    <w:name w:val="heading 2"/>
    <w:basedOn w:val="a"/>
    <w:next w:val="a"/>
    <w:link w:val="2Char"/>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pPr>
      <w:jc w:val="left"/>
    </w:pPr>
  </w:style>
  <w:style w:type="paragraph" w:styleId="a5">
    <w:name w:val="Balloon Text"/>
    <w:basedOn w:val="a"/>
    <w:link w:val="Char1"/>
    <w:qFormat/>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footnote text"/>
    <w:basedOn w:val="a"/>
    <w:qFormat/>
    <w:pPr>
      <w:snapToGrid w:val="0"/>
      <w:jc w:val="left"/>
    </w:pPr>
    <w:rPr>
      <w:kern w:val="0"/>
      <w:sz w:val="18"/>
      <w:szCs w:val="18"/>
    </w:rPr>
  </w:style>
  <w:style w:type="character" w:styleId="a9">
    <w:name w:val="annotation reference"/>
    <w:basedOn w:val="a0"/>
    <w:qFormat/>
    <w:rPr>
      <w:sz w:val="21"/>
      <w:szCs w:val="21"/>
    </w:rPr>
  </w:style>
  <w:style w:type="character" w:styleId="aa">
    <w:name w:val="footnote reference"/>
    <w:qFormat/>
    <w:rPr>
      <w:rFonts w:cs="Times New Roman"/>
      <w:vertAlign w:val="superscript"/>
    </w:rPr>
  </w:style>
  <w:style w:type="character" w:customStyle="1" w:styleId="Char0">
    <w:name w:val="批注文字 Char"/>
    <w:basedOn w:val="a0"/>
    <w:link w:val="a4"/>
    <w:qFormat/>
    <w:rPr>
      <w:kern w:val="2"/>
      <w:sz w:val="21"/>
      <w:szCs w:val="22"/>
    </w:rPr>
  </w:style>
  <w:style w:type="character" w:customStyle="1" w:styleId="Char">
    <w:name w:val="批注主题 Char"/>
    <w:basedOn w:val="Char0"/>
    <w:link w:val="a3"/>
    <w:qFormat/>
    <w:rPr>
      <w:b/>
      <w:bCs/>
      <w:kern w:val="2"/>
      <w:sz w:val="21"/>
      <w:szCs w:val="22"/>
    </w:rPr>
  </w:style>
  <w:style w:type="character" w:customStyle="1" w:styleId="Char1">
    <w:name w:val="批注框文本 Char"/>
    <w:basedOn w:val="a0"/>
    <w:link w:val="a5"/>
    <w:qFormat/>
    <w:rPr>
      <w:kern w:val="2"/>
      <w:sz w:val="18"/>
      <w:szCs w:val="18"/>
    </w:rPr>
  </w:style>
  <w:style w:type="character" w:customStyle="1" w:styleId="1Char">
    <w:name w:val="标题 1 Char"/>
    <w:basedOn w:val="a0"/>
    <w:link w:val="1"/>
    <w:qFormat/>
    <w:rPr>
      <w:rFonts w:ascii="宋体" w:eastAsia="宋体" w:hAnsi="宋体" w:cs="Times New Roman"/>
      <w:b/>
      <w:kern w:val="44"/>
      <w:sz w:val="48"/>
      <w:szCs w:val="48"/>
    </w:rPr>
  </w:style>
  <w:style w:type="character" w:customStyle="1" w:styleId="2Char">
    <w:name w:val="标题 2 Char"/>
    <w:basedOn w:val="a0"/>
    <w:link w:val="2"/>
    <w:qFormat/>
    <w:rPr>
      <w:rFonts w:ascii="宋体" w:eastAsia="宋体" w:hAnsi="宋体" w:cs="Times New Roman"/>
      <w:b/>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54384C-222D-4D18-89E2-475CB7748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1871</Words>
  <Characters>10670</Characters>
  <Application>Microsoft Office Word</Application>
  <DocSecurity>0</DocSecurity>
  <Lines>88</Lines>
  <Paragraphs>25</Paragraphs>
  <ScaleCrop>false</ScaleCrop>
  <Company/>
  <LinksUpToDate>false</LinksUpToDate>
  <CharactersWithSpaces>12516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马晓虎</cp:lastModifiedBy>
  <cp:revision>28</cp:revision>
  <dcterms:created xsi:type="dcterms:W3CDTF">2017-08-14T01:44:00Z</dcterms:created>
  <dcterms:modified xsi:type="dcterms:W3CDTF">2017-09-15T06:34:00Z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