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Arial Narrow" w:hAnsi="Arial Narrow" w:eastAsia="仿宋_GB2312" w:cs="宋体"/>
          <w:sz w:val="30"/>
          <w:szCs w:val="30"/>
        </w:rPr>
      </w:pPr>
      <w:r>
        <w:rPr>
          <w:rFonts w:hint="eastAsia" w:ascii="Arial Narrow" w:hAnsi="Arial Narrow" w:eastAsia="仿宋_GB2312" w:cs="宋体"/>
          <w:sz w:val="30"/>
          <w:szCs w:val="30"/>
        </w:rPr>
        <w:t>附件</w:t>
      </w:r>
      <w:r>
        <w:rPr>
          <w:rFonts w:ascii="Arial Narrow" w:hAnsi="Arial Narrow" w:eastAsia="仿宋_GB2312" w:cs="宋体"/>
          <w:sz w:val="30"/>
          <w:szCs w:val="30"/>
        </w:rPr>
        <w:t>：</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2018年</w:t>
      </w:r>
      <w:r>
        <w:rPr>
          <w:rFonts w:ascii="Arial Narrow" w:hAnsi="黑体" w:eastAsia="黑体"/>
          <w:b/>
          <w:sz w:val="36"/>
          <w:szCs w:val="36"/>
        </w:rPr>
        <w:t>全国职业院校技能大赛</w:t>
      </w:r>
    </w:p>
    <w:p>
      <w:pPr>
        <w:snapToGrid w:val="0"/>
        <w:spacing w:line="540" w:lineRule="exact"/>
        <w:jc w:val="center"/>
        <w:rPr>
          <w:rFonts w:ascii="Arial Narrow" w:hAnsi="Arial Narrow" w:eastAsia="黑体"/>
          <w:b/>
          <w:sz w:val="36"/>
          <w:szCs w:val="36"/>
        </w:rPr>
      </w:pPr>
      <w:r>
        <w:rPr>
          <w:rFonts w:ascii="Arial Narrow" w:hAnsi="黑体" w:eastAsia="黑体"/>
          <w:b/>
          <w:sz w:val="36"/>
          <w:szCs w:val="36"/>
        </w:rPr>
        <w:t>赛项申报书</w:t>
      </w:r>
    </w:p>
    <w:p>
      <w:pPr>
        <w:snapToGrid w:val="0"/>
        <w:spacing w:line="560" w:lineRule="exact"/>
        <w:rPr>
          <w:rFonts w:ascii="Arial Narrow" w:hAnsi="Arial Narrow" w:eastAsia="仿宋_GB2312"/>
          <w:sz w:val="30"/>
          <w:szCs w:val="30"/>
        </w:rPr>
      </w:pP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赛项名称：</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赛项类别：常规赛项□     行业特色赛项□</w:t>
      </w: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赛项组别：中职组</w:t>
      </w:r>
      <w:r>
        <w:rPr>
          <w:rFonts w:hint="eastAsia" w:ascii="仿宋_GB2312" w:hAnsi="Arial Narrow" w:eastAsia="仿宋_GB2312"/>
          <w:sz w:val="30"/>
          <w:szCs w:val="30"/>
        </w:rPr>
        <w:t xml:space="preserve">□       </w:t>
      </w:r>
      <w:r>
        <w:rPr>
          <w:rFonts w:ascii="仿宋_GB2312" w:hAnsi="Arial Narrow" w:eastAsia="仿宋_GB2312"/>
          <w:sz w:val="30"/>
          <w:szCs w:val="30"/>
        </w:rPr>
        <w:t>高职组</w:t>
      </w:r>
      <w:r>
        <w:rPr>
          <w:rFonts w:hint="eastAsia" w:ascii="仿宋_GB2312" w:hAnsi="Arial Narrow" w:eastAsia="仿宋_GB2312"/>
          <w:sz w:val="30"/>
          <w:szCs w:val="30"/>
        </w:rPr>
        <w:t>□</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涉及的专业大类/类</w:t>
      </w:r>
      <w:r>
        <w:rPr>
          <w:rFonts w:ascii="仿宋_GB2312" w:hAnsi="Arial Narrow" w:eastAsia="仿宋_GB2312"/>
          <w:sz w:val="30"/>
          <w:szCs w:val="30"/>
        </w:rPr>
        <w:t>：</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方案设计专家组组长：</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手机号码：</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方案</w:t>
      </w:r>
      <w:r>
        <w:rPr>
          <w:rFonts w:ascii="仿宋_GB2312" w:hAnsi="Arial Narrow" w:eastAsia="仿宋_GB2312"/>
          <w:sz w:val="30"/>
          <w:szCs w:val="30"/>
        </w:rPr>
        <w:t>申报单位（盖章）：</w:t>
      </w: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方案申报负责人：</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方案申报单位联络人：</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联络人手机号码</w:t>
      </w:r>
      <w:r>
        <w:rPr>
          <w:rFonts w:ascii="仿宋_GB2312" w:hAnsi="Arial Narrow" w:eastAsia="仿宋_GB2312"/>
          <w:sz w:val="30"/>
          <w:szCs w:val="30"/>
        </w:rPr>
        <w:t>：</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电子邮箱</w:t>
      </w:r>
      <w:r>
        <w:rPr>
          <w:rFonts w:ascii="仿宋_GB2312" w:hAnsi="Arial Narrow" w:eastAsia="仿宋_GB2312"/>
          <w:sz w:val="30"/>
          <w:szCs w:val="30"/>
        </w:rPr>
        <w:t>：</w:t>
      </w: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通讯地址：</w:t>
      </w: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邮政编码：</w:t>
      </w: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申报日期：</w:t>
      </w:r>
    </w:p>
    <w:p>
      <w:pPr>
        <w:snapToGrid w:val="0"/>
        <w:spacing w:line="560" w:lineRule="exact"/>
        <w:rPr>
          <w:rFonts w:ascii="Arial Narrow" w:hAnsi="Arial Narrow" w:eastAsia="仿宋_GB2312"/>
          <w:sz w:val="30"/>
          <w:szCs w:val="30"/>
        </w:rPr>
      </w:pPr>
    </w:p>
    <w:p>
      <w:pPr>
        <w:widowControl/>
        <w:jc w:val="left"/>
        <w:rPr>
          <w:rFonts w:ascii="Arial Narrow" w:hAnsi="Arial Narrow" w:eastAsia="仿宋_GB2312" w:cs="Arial"/>
          <w:sz w:val="30"/>
          <w:szCs w:val="30"/>
        </w:rPr>
        <w:sectPr>
          <w:pgSz w:w="11906" w:h="16838"/>
          <w:pgMar w:top="1440" w:right="1800" w:bottom="1440" w:left="1800" w:header="851" w:footer="992" w:gutter="0"/>
          <w:cols w:space="425" w:num="1"/>
          <w:docGrid w:type="lines" w:linePitch="312" w:charSpace="0"/>
        </w:sectPr>
      </w:pPr>
    </w:p>
    <w:p>
      <w:pPr>
        <w:widowControl/>
        <w:jc w:val="left"/>
        <w:rPr>
          <w:rFonts w:ascii="Arial Narrow" w:hAnsi="Arial Narrow" w:eastAsia="仿宋_GB2312" w:cs="Arial"/>
          <w:sz w:val="30"/>
          <w:szCs w:val="30"/>
        </w:rPr>
      </w:pPr>
      <w:r>
        <w:rPr>
          <w:rFonts w:ascii="Arial Narrow" w:hAnsi="Arial Narrow" w:eastAsia="仿宋_GB2312" w:cs="Arial"/>
          <w:sz w:val="30"/>
          <w:szCs w:val="30"/>
        </w:rPr>
        <w:t>内容要求</w:t>
      </w:r>
      <w:r>
        <w:rPr>
          <w:rStyle w:val="10"/>
          <w:rFonts w:ascii="Arial Narrow" w:hAnsi="Arial Narrow" w:eastAsia="仿宋_GB2312"/>
          <w:sz w:val="30"/>
          <w:szCs w:val="30"/>
        </w:rPr>
        <w:footnoteReference w:id="0"/>
      </w:r>
      <w:r>
        <w:rPr>
          <w:rFonts w:ascii="Arial Narrow" w:hAnsi="Arial Narrow" w:eastAsia="仿宋_GB2312" w:cs="Arial"/>
          <w:sz w:val="30"/>
          <w:szCs w:val="30"/>
        </w:rPr>
        <w:t xml:space="preserve">：    </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2018年</w:t>
      </w:r>
      <w:r>
        <w:rPr>
          <w:rFonts w:ascii="Arial Narrow" w:hAnsi="黑体" w:eastAsia="黑体"/>
          <w:b/>
          <w:sz w:val="36"/>
          <w:szCs w:val="36"/>
        </w:rPr>
        <w:t>全国职业院校技能大赛</w:t>
      </w:r>
    </w:p>
    <w:p>
      <w:pPr>
        <w:snapToGrid w:val="0"/>
        <w:spacing w:line="540" w:lineRule="exact"/>
        <w:jc w:val="center"/>
        <w:rPr>
          <w:rFonts w:ascii="Arial Narrow" w:hAnsi="Arial Narrow" w:eastAsia="黑体"/>
          <w:b/>
          <w:sz w:val="36"/>
          <w:szCs w:val="36"/>
        </w:rPr>
      </w:pPr>
      <w:r>
        <w:rPr>
          <w:rFonts w:ascii="Arial Narrow" w:hAnsi="黑体" w:eastAsia="黑体"/>
          <w:b/>
          <w:sz w:val="36"/>
          <w:szCs w:val="36"/>
        </w:rPr>
        <w:t>赛项申报方案</w:t>
      </w:r>
    </w:p>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应根据比赛的内容或核心技术或技能确定赛项名称，不能以单一技能、工种名称直接命名。</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（二）压题彩照</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一张反映赛项特点的彩色照片，照片像素不少于3264×2488。</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（三）赛项归属产业类型</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（四）赛项归属专业大类</w:t>
      </w:r>
      <w:r>
        <w:rPr>
          <w:rFonts w:hint="eastAsia" w:ascii="Arial Narrow" w:hAnsi="Arial Narrow" w:eastAsia="仿宋_GB2312" w:cs="Arial"/>
          <w:sz w:val="30"/>
          <w:szCs w:val="30"/>
        </w:rPr>
        <w:t>/类</w:t>
      </w:r>
    </w:p>
    <w:p>
      <w:pPr>
        <w:spacing w:line="560" w:lineRule="exact"/>
        <w:ind w:firstLine="600"/>
        <w:rPr>
          <w:rFonts w:ascii="Arial Narrow" w:hAnsi="Arial Narrow" w:eastAsia="仿宋_GB2312" w:cs="Arial"/>
          <w:sz w:val="30"/>
          <w:szCs w:val="30"/>
        </w:rPr>
      </w:pPr>
      <w:r>
        <w:rPr>
          <w:rFonts w:hint="eastAsia" w:ascii="Arial Narrow" w:hAnsi="Arial Narrow" w:eastAsia="仿宋_GB2312" w:cs="Arial"/>
          <w:sz w:val="30"/>
          <w:szCs w:val="30"/>
        </w:rPr>
        <w:t>专业大类/类名称必须严格按照《中等职业学校专业目录（</w:t>
      </w:r>
      <w:r>
        <w:rPr>
          <w:rFonts w:hint="eastAsia" w:ascii="仿宋_GB2312" w:hAnsi="仿宋_GB2312" w:eastAsia="仿宋_GB2312" w:cs="仿宋_GB2312"/>
          <w:sz w:val="30"/>
          <w:szCs w:val="30"/>
        </w:rPr>
        <w:t>2010</w:t>
      </w:r>
      <w:r>
        <w:rPr>
          <w:rFonts w:hint="eastAsia" w:ascii="Arial Narrow" w:hAnsi="Arial Narrow" w:eastAsia="仿宋_GB2312" w:cs="Arial"/>
          <w:sz w:val="30"/>
          <w:szCs w:val="30"/>
        </w:rPr>
        <w:t>年修订）》《普通高等学校高等职业教育（专科）专业目录（</w:t>
      </w:r>
      <w:r>
        <w:rPr>
          <w:rFonts w:hint="eastAsia" w:ascii="仿宋_GB2312" w:hAnsi="仿宋_GB2312" w:eastAsia="仿宋_GB2312" w:cs="仿宋_GB2312"/>
          <w:sz w:val="30"/>
          <w:szCs w:val="30"/>
        </w:rPr>
        <w:t>2015年</w:t>
      </w:r>
      <w:r>
        <w:rPr>
          <w:rFonts w:hint="eastAsia" w:ascii="Arial Narrow" w:hAnsi="Arial Narrow" w:eastAsia="仿宋_GB2312" w:cs="Arial"/>
          <w:sz w:val="30"/>
          <w:szCs w:val="30"/>
        </w:rPr>
        <w:t>）》填写，可多选。</w:t>
      </w: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二、赛项申报专家组</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15"/>
        <w:gridCol w:w="993"/>
        <w:gridCol w:w="1417"/>
        <w:gridCol w:w="851"/>
        <w:gridCol w:w="128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828" w:type="dxa"/>
            <w:vAlign w:val="center"/>
          </w:tcPr>
          <w:p>
            <w:pPr>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姓名</w:t>
            </w:r>
          </w:p>
        </w:tc>
        <w:tc>
          <w:tcPr>
            <w:tcW w:w="2115" w:type="dxa"/>
            <w:vAlign w:val="center"/>
          </w:tcPr>
          <w:p>
            <w:pPr>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单位</w:t>
            </w:r>
          </w:p>
        </w:tc>
        <w:tc>
          <w:tcPr>
            <w:tcW w:w="993" w:type="dxa"/>
            <w:vAlign w:val="center"/>
          </w:tcPr>
          <w:p>
            <w:pPr>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专业</w:t>
            </w:r>
          </w:p>
        </w:tc>
        <w:tc>
          <w:tcPr>
            <w:tcW w:w="1417" w:type="dxa"/>
            <w:vAlign w:val="center"/>
          </w:tcPr>
          <w:p>
            <w:pPr>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职务/职称</w:t>
            </w:r>
          </w:p>
        </w:tc>
        <w:tc>
          <w:tcPr>
            <w:tcW w:w="851" w:type="dxa"/>
            <w:vAlign w:val="center"/>
          </w:tcPr>
          <w:p>
            <w:pPr>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年龄</w:t>
            </w:r>
          </w:p>
        </w:tc>
        <w:tc>
          <w:tcPr>
            <w:tcW w:w="1284" w:type="dxa"/>
            <w:vAlign w:val="center"/>
          </w:tcPr>
          <w:p>
            <w:pPr>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手机号码</w:t>
            </w:r>
          </w:p>
        </w:tc>
        <w:tc>
          <w:tcPr>
            <w:tcW w:w="1440" w:type="dxa"/>
            <w:vAlign w:val="center"/>
          </w:tcPr>
          <w:p>
            <w:pPr>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djustRightInd w:val="0"/>
              <w:snapToGrid w:val="0"/>
              <w:rPr>
                <w:rFonts w:ascii="Arial Narrow" w:hAnsi="Arial Narrow" w:cs="宋体"/>
                <w:sz w:val="24"/>
                <w:szCs w:val="24"/>
              </w:rPr>
            </w:pPr>
          </w:p>
        </w:tc>
        <w:tc>
          <w:tcPr>
            <w:tcW w:w="2115" w:type="dxa"/>
          </w:tcPr>
          <w:p>
            <w:pPr>
              <w:adjustRightInd w:val="0"/>
              <w:snapToGrid w:val="0"/>
              <w:rPr>
                <w:rFonts w:ascii="Arial Narrow" w:hAnsi="Arial Narrow" w:cs="宋体"/>
                <w:sz w:val="24"/>
                <w:szCs w:val="24"/>
              </w:rPr>
            </w:pPr>
          </w:p>
        </w:tc>
        <w:tc>
          <w:tcPr>
            <w:tcW w:w="993" w:type="dxa"/>
          </w:tcPr>
          <w:p>
            <w:pPr>
              <w:adjustRightInd w:val="0"/>
              <w:snapToGrid w:val="0"/>
              <w:rPr>
                <w:rFonts w:ascii="Arial Narrow" w:hAnsi="Arial Narrow" w:cs="宋体"/>
                <w:sz w:val="24"/>
                <w:szCs w:val="24"/>
              </w:rPr>
            </w:pPr>
          </w:p>
        </w:tc>
        <w:tc>
          <w:tcPr>
            <w:tcW w:w="1417" w:type="dxa"/>
          </w:tcPr>
          <w:p>
            <w:pPr>
              <w:adjustRightInd w:val="0"/>
              <w:snapToGrid w:val="0"/>
              <w:rPr>
                <w:rFonts w:ascii="Arial Narrow" w:hAnsi="Arial Narrow" w:cs="宋体"/>
                <w:sz w:val="24"/>
                <w:szCs w:val="24"/>
              </w:rPr>
            </w:pPr>
          </w:p>
        </w:tc>
        <w:tc>
          <w:tcPr>
            <w:tcW w:w="851" w:type="dxa"/>
          </w:tcPr>
          <w:p>
            <w:pPr>
              <w:adjustRightInd w:val="0"/>
              <w:snapToGrid w:val="0"/>
              <w:rPr>
                <w:rFonts w:ascii="Arial Narrow" w:hAnsi="Arial Narrow" w:cs="宋体"/>
                <w:sz w:val="24"/>
                <w:szCs w:val="24"/>
              </w:rPr>
            </w:pPr>
          </w:p>
        </w:tc>
        <w:tc>
          <w:tcPr>
            <w:tcW w:w="1284" w:type="dxa"/>
          </w:tcPr>
          <w:p>
            <w:pPr>
              <w:adjustRightInd w:val="0"/>
              <w:snapToGrid w:val="0"/>
              <w:rPr>
                <w:rFonts w:ascii="Arial Narrow" w:hAnsi="Arial Narrow" w:cs="宋体"/>
                <w:sz w:val="24"/>
                <w:szCs w:val="24"/>
              </w:rPr>
            </w:pPr>
          </w:p>
        </w:tc>
        <w:tc>
          <w:tcPr>
            <w:tcW w:w="1440" w:type="dxa"/>
          </w:tcPr>
          <w:p>
            <w:pPr>
              <w:adjustRightInd w:val="0"/>
              <w:snapToGrid w:val="0"/>
              <w:rPr>
                <w:rFonts w:ascii="Arial Narrow" w:hAnsi="Arial Narrow"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djustRightInd w:val="0"/>
              <w:snapToGrid w:val="0"/>
              <w:rPr>
                <w:rFonts w:ascii="Arial Narrow" w:hAnsi="Arial Narrow" w:cs="宋体"/>
                <w:sz w:val="24"/>
                <w:szCs w:val="24"/>
              </w:rPr>
            </w:pPr>
          </w:p>
        </w:tc>
        <w:tc>
          <w:tcPr>
            <w:tcW w:w="2115" w:type="dxa"/>
          </w:tcPr>
          <w:p>
            <w:pPr>
              <w:adjustRightInd w:val="0"/>
              <w:snapToGrid w:val="0"/>
              <w:rPr>
                <w:rFonts w:ascii="Arial Narrow" w:hAnsi="Arial Narrow" w:cs="宋体"/>
                <w:sz w:val="24"/>
                <w:szCs w:val="24"/>
              </w:rPr>
            </w:pPr>
          </w:p>
        </w:tc>
        <w:tc>
          <w:tcPr>
            <w:tcW w:w="993" w:type="dxa"/>
          </w:tcPr>
          <w:p>
            <w:pPr>
              <w:adjustRightInd w:val="0"/>
              <w:snapToGrid w:val="0"/>
              <w:rPr>
                <w:rFonts w:ascii="Arial Narrow" w:hAnsi="Arial Narrow" w:cs="宋体"/>
                <w:sz w:val="24"/>
                <w:szCs w:val="24"/>
              </w:rPr>
            </w:pPr>
          </w:p>
        </w:tc>
        <w:tc>
          <w:tcPr>
            <w:tcW w:w="1417" w:type="dxa"/>
          </w:tcPr>
          <w:p>
            <w:pPr>
              <w:adjustRightInd w:val="0"/>
              <w:snapToGrid w:val="0"/>
              <w:rPr>
                <w:rFonts w:ascii="Arial Narrow" w:hAnsi="Arial Narrow" w:cs="宋体"/>
                <w:sz w:val="24"/>
                <w:szCs w:val="24"/>
              </w:rPr>
            </w:pPr>
          </w:p>
        </w:tc>
        <w:tc>
          <w:tcPr>
            <w:tcW w:w="851" w:type="dxa"/>
          </w:tcPr>
          <w:p>
            <w:pPr>
              <w:adjustRightInd w:val="0"/>
              <w:snapToGrid w:val="0"/>
              <w:rPr>
                <w:rFonts w:ascii="Arial Narrow" w:hAnsi="Arial Narrow" w:cs="宋体"/>
                <w:sz w:val="24"/>
                <w:szCs w:val="24"/>
              </w:rPr>
            </w:pPr>
          </w:p>
        </w:tc>
        <w:tc>
          <w:tcPr>
            <w:tcW w:w="1284" w:type="dxa"/>
          </w:tcPr>
          <w:p>
            <w:pPr>
              <w:adjustRightInd w:val="0"/>
              <w:snapToGrid w:val="0"/>
              <w:rPr>
                <w:rFonts w:ascii="Arial Narrow" w:hAnsi="Arial Narrow" w:cs="宋体"/>
                <w:sz w:val="24"/>
                <w:szCs w:val="24"/>
              </w:rPr>
            </w:pPr>
          </w:p>
        </w:tc>
        <w:tc>
          <w:tcPr>
            <w:tcW w:w="1440" w:type="dxa"/>
          </w:tcPr>
          <w:p>
            <w:pPr>
              <w:adjustRightInd w:val="0"/>
              <w:snapToGrid w:val="0"/>
              <w:rPr>
                <w:rFonts w:ascii="Arial Narrow" w:hAnsi="Arial Narrow"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djustRightInd w:val="0"/>
              <w:snapToGrid w:val="0"/>
              <w:rPr>
                <w:rFonts w:ascii="Arial Narrow" w:hAnsi="Arial Narrow" w:cs="宋体"/>
                <w:sz w:val="24"/>
                <w:szCs w:val="24"/>
              </w:rPr>
            </w:pPr>
          </w:p>
        </w:tc>
        <w:tc>
          <w:tcPr>
            <w:tcW w:w="2115" w:type="dxa"/>
          </w:tcPr>
          <w:p>
            <w:pPr>
              <w:adjustRightInd w:val="0"/>
              <w:snapToGrid w:val="0"/>
              <w:rPr>
                <w:rFonts w:ascii="Arial Narrow" w:hAnsi="Arial Narrow" w:cs="宋体"/>
                <w:sz w:val="24"/>
                <w:szCs w:val="24"/>
              </w:rPr>
            </w:pPr>
          </w:p>
        </w:tc>
        <w:tc>
          <w:tcPr>
            <w:tcW w:w="993" w:type="dxa"/>
          </w:tcPr>
          <w:p>
            <w:pPr>
              <w:adjustRightInd w:val="0"/>
              <w:snapToGrid w:val="0"/>
              <w:rPr>
                <w:rFonts w:ascii="Arial Narrow" w:hAnsi="Arial Narrow" w:cs="宋体"/>
                <w:sz w:val="24"/>
                <w:szCs w:val="24"/>
              </w:rPr>
            </w:pPr>
          </w:p>
        </w:tc>
        <w:tc>
          <w:tcPr>
            <w:tcW w:w="1417" w:type="dxa"/>
          </w:tcPr>
          <w:p>
            <w:pPr>
              <w:adjustRightInd w:val="0"/>
              <w:snapToGrid w:val="0"/>
              <w:rPr>
                <w:rFonts w:ascii="Arial Narrow" w:hAnsi="Arial Narrow" w:cs="宋体"/>
                <w:sz w:val="24"/>
                <w:szCs w:val="24"/>
              </w:rPr>
            </w:pPr>
          </w:p>
        </w:tc>
        <w:tc>
          <w:tcPr>
            <w:tcW w:w="851" w:type="dxa"/>
          </w:tcPr>
          <w:p>
            <w:pPr>
              <w:adjustRightInd w:val="0"/>
              <w:snapToGrid w:val="0"/>
              <w:rPr>
                <w:rFonts w:ascii="Arial Narrow" w:hAnsi="Arial Narrow" w:cs="宋体"/>
                <w:sz w:val="24"/>
                <w:szCs w:val="24"/>
              </w:rPr>
            </w:pPr>
          </w:p>
        </w:tc>
        <w:tc>
          <w:tcPr>
            <w:tcW w:w="1284" w:type="dxa"/>
          </w:tcPr>
          <w:p>
            <w:pPr>
              <w:adjustRightInd w:val="0"/>
              <w:snapToGrid w:val="0"/>
              <w:rPr>
                <w:rFonts w:ascii="Arial Narrow" w:hAnsi="Arial Narrow" w:cs="宋体"/>
                <w:sz w:val="24"/>
                <w:szCs w:val="24"/>
              </w:rPr>
            </w:pPr>
          </w:p>
        </w:tc>
        <w:tc>
          <w:tcPr>
            <w:tcW w:w="1440" w:type="dxa"/>
          </w:tcPr>
          <w:p>
            <w:pPr>
              <w:adjustRightInd w:val="0"/>
              <w:snapToGrid w:val="0"/>
              <w:rPr>
                <w:rFonts w:ascii="Arial Narrow" w:hAnsi="Arial Narrow"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djustRightInd w:val="0"/>
              <w:snapToGrid w:val="0"/>
              <w:rPr>
                <w:rFonts w:ascii="Arial Narrow" w:hAnsi="Arial Narrow" w:cs="宋体"/>
                <w:sz w:val="24"/>
                <w:szCs w:val="24"/>
              </w:rPr>
            </w:pPr>
          </w:p>
        </w:tc>
        <w:tc>
          <w:tcPr>
            <w:tcW w:w="2115" w:type="dxa"/>
          </w:tcPr>
          <w:p>
            <w:pPr>
              <w:adjustRightInd w:val="0"/>
              <w:snapToGrid w:val="0"/>
              <w:rPr>
                <w:rFonts w:ascii="Arial Narrow" w:hAnsi="Arial Narrow" w:cs="宋体"/>
                <w:sz w:val="24"/>
                <w:szCs w:val="24"/>
              </w:rPr>
            </w:pPr>
          </w:p>
        </w:tc>
        <w:tc>
          <w:tcPr>
            <w:tcW w:w="993" w:type="dxa"/>
          </w:tcPr>
          <w:p>
            <w:pPr>
              <w:adjustRightInd w:val="0"/>
              <w:snapToGrid w:val="0"/>
              <w:rPr>
                <w:rFonts w:ascii="Arial Narrow" w:hAnsi="Arial Narrow" w:cs="宋体"/>
                <w:sz w:val="24"/>
                <w:szCs w:val="24"/>
              </w:rPr>
            </w:pPr>
          </w:p>
        </w:tc>
        <w:tc>
          <w:tcPr>
            <w:tcW w:w="1417" w:type="dxa"/>
          </w:tcPr>
          <w:p>
            <w:pPr>
              <w:adjustRightInd w:val="0"/>
              <w:snapToGrid w:val="0"/>
              <w:rPr>
                <w:rFonts w:ascii="Arial Narrow" w:hAnsi="Arial Narrow" w:cs="宋体"/>
                <w:sz w:val="24"/>
                <w:szCs w:val="24"/>
              </w:rPr>
            </w:pPr>
          </w:p>
        </w:tc>
        <w:tc>
          <w:tcPr>
            <w:tcW w:w="851" w:type="dxa"/>
          </w:tcPr>
          <w:p>
            <w:pPr>
              <w:adjustRightInd w:val="0"/>
              <w:snapToGrid w:val="0"/>
              <w:rPr>
                <w:rFonts w:ascii="Arial Narrow" w:hAnsi="Arial Narrow" w:cs="宋体"/>
                <w:sz w:val="24"/>
                <w:szCs w:val="24"/>
              </w:rPr>
            </w:pPr>
          </w:p>
        </w:tc>
        <w:tc>
          <w:tcPr>
            <w:tcW w:w="1284" w:type="dxa"/>
          </w:tcPr>
          <w:p>
            <w:pPr>
              <w:adjustRightInd w:val="0"/>
              <w:snapToGrid w:val="0"/>
              <w:rPr>
                <w:rFonts w:ascii="Arial Narrow" w:hAnsi="Arial Narrow" w:cs="宋体"/>
                <w:sz w:val="24"/>
                <w:szCs w:val="24"/>
              </w:rPr>
            </w:pPr>
          </w:p>
        </w:tc>
        <w:tc>
          <w:tcPr>
            <w:tcW w:w="1440" w:type="dxa"/>
          </w:tcPr>
          <w:p>
            <w:pPr>
              <w:adjustRightInd w:val="0"/>
              <w:snapToGrid w:val="0"/>
              <w:rPr>
                <w:rFonts w:ascii="Arial Narrow" w:hAnsi="Arial Narrow"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djustRightInd w:val="0"/>
              <w:snapToGrid w:val="0"/>
              <w:rPr>
                <w:rFonts w:ascii="Arial Narrow" w:hAnsi="Arial Narrow" w:cs="宋体"/>
                <w:sz w:val="24"/>
                <w:szCs w:val="24"/>
              </w:rPr>
            </w:pPr>
          </w:p>
        </w:tc>
        <w:tc>
          <w:tcPr>
            <w:tcW w:w="2115" w:type="dxa"/>
          </w:tcPr>
          <w:p>
            <w:pPr>
              <w:adjustRightInd w:val="0"/>
              <w:snapToGrid w:val="0"/>
              <w:rPr>
                <w:rFonts w:ascii="Arial Narrow" w:hAnsi="Arial Narrow" w:cs="宋体"/>
                <w:sz w:val="24"/>
                <w:szCs w:val="24"/>
              </w:rPr>
            </w:pPr>
          </w:p>
        </w:tc>
        <w:tc>
          <w:tcPr>
            <w:tcW w:w="993" w:type="dxa"/>
          </w:tcPr>
          <w:p>
            <w:pPr>
              <w:adjustRightInd w:val="0"/>
              <w:snapToGrid w:val="0"/>
              <w:rPr>
                <w:rFonts w:ascii="Arial Narrow" w:hAnsi="Arial Narrow" w:cs="宋体"/>
                <w:sz w:val="24"/>
                <w:szCs w:val="24"/>
              </w:rPr>
            </w:pPr>
          </w:p>
        </w:tc>
        <w:tc>
          <w:tcPr>
            <w:tcW w:w="1417" w:type="dxa"/>
          </w:tcPr>
          <w:p>
            <w:pPr>
              <w:adjustRightInd w:val="0"/>
              <w:snapToGrid w:val="0"/>
              <w:rPr>
                <w:rFonts w:ascii="Arial Narrow" w:hAnsi="Arial Narrow" w:cs="宋体"/>
                <w:sz w:val="24"/>
                <w:szCs w:val="24"/>
              </w:rPr>
            </w:pPr>
          </w:p>
        </w:tc>
        <w:tc>
          <w:tcPr>
            <w:tcW w:w="851" w:type="dxa"/>
          </w:tcPr>
          <w:p>
            <w:pPr>
              <w:adjustRightInd w:val="0"/>
              <w:snapToGrid w:val="0"/>
              <w:rPr>
                <w:rFonts w:ascii="Arial Narrow" w:hAnsi="Arial Narrow" w:cs="宋体"/>
                <w:sz w:val="24"/>
                <w:szCs w:val="24"/>
              </w:rPr>
            </w:pPr>
          </w:p>
        </w:tc>
        <w:tc>
          <w:tcPr>
            <w:tcW w:w="1284" w:type="dxa"/>
          </w:tcPr>
          <w:p>
            <w:pPr>
              <w:adjustRightInd w:val="0"/>
              <w:snapToGrid w:val="0"/>
              <w:rPr>
                <w:rFonts w:ascii="Arial Narrow" w:hAnsi="Arial Narrow" w:cs="宋体"/>
                <w:sz w:val="24"/>
                <w:szCs w:val="24"/>
              </w:rPr>
            </w:pPr>
          </w:p>
        </w:tc>
        <w:tc>
          <w:tcPr>
            <w:tcW w:w="1440" w:type="dxa"/>
          </w:tcPr>
          <w:p>
            <w:pPr>
              <w:adjustRightInd w:val="0"/>
              <w:snapToGrid w:val="0"/>
              <w:rPr>
                <w:rFonts w:ascii="Arial Narrow" w:hAnsi="Arial Narrow"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djustRightInd w:val="0"/>
              <w:snapToGrid w:val="0"/>
              <w:rPr>
                <w:rFonts w:ascii="Arial Narrow" w:hAnsi="Arial Narrow" w:cs="宋体"/>
                <w:sz w:val="24"/>
                <w:szCs w:val="24"/>
              </w:rPr>
            </w:pPr>
          </w:p>
        </w:tc>
        <w:tc>
          <w:tcPr>
            <w:tcW w:w="2115" w:type="dxa"/>
          </w:tcPr>
          <w:p>
            <w:pPr>
              <w:adjustRightInd w:val="0"/>
              <w:snapToGrid w:val="0"/>
              <w:rPr>
                <w:rFonts w:ascii="Arial Narrow" w:hAnsi="Arial Narrow" w:cs="宋体"/>
                <w:sz w:val="24"/>
                <w:szCs w:val="24"/>
              </w:rPr>
            </w:pPr>
          </w:p>
        </w:tc>
        <w:tc>
          <w:tcPr>
            <w:tcW w:w="993" w:type="dxa"/>
          </w:tcPr>
          <w:p>
            <w:pPr>
              <w:adjustRightInd w:val="0"/>
              <w:snapToGrid w:val="0"/>
              <w:rPr>
                <w:rFonts w:ascii="Arial Narrow" w:hAnsi="Arial Narrow" w:cs="宋体"/>
                <w:sz w:val="24"/>
                <w:szCs w:val="24"/>
              </w:rPr>
            </w:pPr>
          </w:p>
        </w:tc>
        <w:tc>
          <w:tcPr>
            <w:tcW w:w="1417" w:type="dxa"/>
          </w:tcPr>
          <w:p>
            <w:pPr>
              <w:adjustRightInd w:val="0"/>
              <w:snapToGrid w:val="0"/>
              <w:rPr>
                <w:rFonts w:ascii="Arial Narrow" w:hAnsi="Arial Narrow" w:cs="宋体"/>
                <w:sz w:val="24"/>
                <w:szCs w:val="24"/>
              </w:rPr>
            </w:pPr>
          </w:p>
        </w:tc>
        <w:tc>
          <w:tcPr>
            <w:tcW w:w="851" w:type="dxa"/>
          </w:tcPr>
          <w:p>
            <w:pPr>
              <w:adjustRightInd w:val="0"/>
              <w:snapToGrid w:val="0"/>
              <w:rPr>
                <w:rFonts w:ascii="Arial Narrow" w:hAnsi="Arial Narrow" w:cs="宋体"/>
                <w:sz w:val="24"/>
                <w:szCs w:val="24"/>
              </w:rPr>
            </w:pPr>
          </w:p>
        </w:tc>
        <w:tc>
          <w:tcPr>
            <w:tcW w:w="1284" w:type="dxa"/>
          </w:tcPr>
          <w:p>
            <w:pPr>
              <w:adjustRightInd w:val="0"/>
              <w:snapToGrid w:val="0"/>
              <w:rPr>
                <w:rFonts w:ascii="Arial Narrow" w:hAnsi="Arial Narrow" w:cs="宋体"/>
                <w:sz w:val="24"/>
                <w:szCs w:val="24"/>
              </w:rPr>
            </w:pPr>
          </w:p>
        </w:tc>
        <w:tc>
          <w:tcPr>
            <w:tcW w:w="1440" w:type="dxa"/>
          </w:tcPr>
          <w:p>
            <w:pPr>
              <w:adjustRightInd w:val="0"/>
              <w:snapToGrid w:val="0"/>
              <w:rPr>
                <w:rFonts w:ascii="Arial Narrow" w:hAnsi="Arial Narrow"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djustRightInd w:val="0"/>
              <w:snapToGrid w:val="0"/>
              <w:rPr>
                <w:rFonts w:ascii="Arial Narrow" w:hAnsi="Arial Narrow" w:cs="宋体"/>
                <w:sz w:val="24"/>
                <w:szCs w:val="24"/>
              </w:rPr>
            </w:pPr>
          </w:p>
        </w:tc>
        <w:tc>
          <w:tcPr>
            <w:tcW w:w="2115" w:type="dxa"/>
          </w:tcPr>
          <w:p>
            <w:pPr>
              <w:adjustRightInd w:val="0"/>
              <w:snapToGrid w:val="0"/>
              <w:rPr>
                <w:rFonts w:ascii="Arial Narrow" w:hAnsi="Arial Narrow" w:cs="宋体"/>
                <w:sz w:val="24"/>
                <w:szCs w:val="24"/>
              </w:rPr>
            </w:pPr>
          </w:p>
        </w:tc>
        <w:tc>
          <w:tcPr>
            <w:tcW w:w="993" w:type="dxa"/>
          </w:tcPr>
          <w:p>
            <w:pPr>
              <w:adjustRightInd w:val="0"/>
              <w:snapToGrid w:val="0"/>
              <w:rPr>
                <w:rFonts w:ascii="Arial Narrow" w:hAnsi="Arial Narrow" w:cs="宋体"/>
                <w:sz w:val="24"/>
                <w:szCs w:val="24"/>
              </w:rPr>
            </w:pPr>
          </w:p>
        </w:tc>
        <w:tc>
          <w:tcPr>
            <w:tcW w:w="1417" w:type="dxa"/>
          </w:tcPr>
          <w:p>
            <w:pPr>
              <w:adjustRightInd w:val="0"/>
              <w:snapToGrid w:val="0"/>
              <w:rPr>
                <w:rFonts w:ascii="Arial Narrow" w:hAnsi="Arial Narrow" w:cs="宋体"/>
                <w:sz w:val="24"/>
                <w:szCs w:val="24"/>
              </w:rPr>
            </w:pPr>
          </w:p>
        </w:tc>
        <w:tc>
          <w:tcPr>
            <w:tcW w:w="851" w:type="dxa"/>
          </w:tcPr>
          <w:p>
            <w:pPr>
              <w:adjustRightInd w:val="0"/>
              <w:snapToGrid w:val="0"/>
              <w:rPr>
                <w:rFonts w:ascii="Arial Narrow" w:hAnsi="Arial Narrow" w:cs="宋体"/>
                <w:sz w:val="24"/>
                <w:szCs w:val="24"/>
              </w:rPr>
            </w:pPr>
          </w:p>
        </w:tc>
        <w:tc>
          <w:tcPr>
            <w:tcW w:w="1284" w:type="dxa"/>
          </w:tcPr>
          <w:p>
            <w:pPr>
              <w:adjustRightInd w:val="0"/>
              <w:snapToGrid w:val="0"/>
              <w:rPr>
                <w:rFonts w:ascii="Arial Narrow" w:hAnsi="Arial Narrow" w:cs="宋体"/>
                <w:sz w:val="24"/>
                <w:szCs w:val="24"/>
              </w:rPr>
            </w:pPr>
          </w:p>
        </w:tc>
        <w:tc>
          <w:tcPr>
            <w:tcW w:w="1440" w:type="dxa"/>
          </w:tcPr>
          <w:p>
            <w:pPr>
              <w:adjustRightInd w:val="0"/>
              <w:snapToGrid w:val="0"/>
              <w:rPr>
                <w:rFonts w:ascii="Arial Narrow" w:hAnsi="Arial Narrow"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djustRightInd w:val="0"/>
              <w:snapToGrid w:val="0"/>
              <w:rPr>
                <w:rFonts w:ascii="Arial Narrow" w:hAnsi="Arial Narrow" w:cs="宋体"/>
                <w:sz w:val="24"/>
                <w:szCs w:val="24"/>
              </w:rPr>
            </w:pPr>
          </w:p>
        </w:tc>
        <w:tc>
          <w:tcPr>
            <w:tcW w:w="2115" w:type="dxa"/>
          </w:tcPr>
          <w:p>
            <w:pPr>
              <w:adjustRightInd w:val="0"/>
              <w:snapToGrid w:val="0"/>
              <w:rPr>
                <w:rFonts w:ascii="Arial Narrow" w:hAnsi="Arial Narrow" w:cs="宋体"/>
                <w:sz w:val="24"/>
                <w:szCs w:val="24"/>
              </w:rPr>
            </w:pPr>
          </w:p>
        </w:tc>
        <w:tc>
          <w:tcPr>
            <w:tcW w:w="993" w:type="dxa"/>
          </w:tcPr>
          <w:p>
            <w:pPr>
              <w:adjustRightInd w:val="0"/>
              <w:snapToGrid w:val="0"/>
              <w:rPr>
                <w:rFonts w:ascii="Arial Narrow" w:hAnsi="Arial Narrow" w:cs="宋体"/>
                <w:sz w:val="24"/>
                <w:szCs w:val="24"/>
              </w:rPr>
            </w:pPr>
          </w:p>
        </w:tc>
        <w:tc>
          <w:tcPr>
            <w:tcW w:w="1417" w:type="dxa"/>
          </w:tcPr>
          <w:p>
            <w:pPr>
              <w:adjustRightInd w:val="0"/>
              <w:snapToGrid w:val="0"/>
              <w:rPr>
                <w:rFonts w:ascii="Arial Narrow" w:hAnsi="Arial Narrow" w:cs="宋体"/>
                <w:sz w:val="24"/>
                <w:szCs w:val="24"/>
              </w:rPr>
            </w:pPr>
          </w:p>
        </w:tc>
        <w:tc>
          <w:tcPr>
            <w:tcW w:w="851" w:type="dxa"/>
          </w:tcPr>
          <w:p>
            <w:pPr>
              <w:adjustRightInd w:val="0"/>
              <w:snapToGrid w:val="0"/>
              <w:rPr>
                <w:rFonts w:ascii="Arial Narrow" w:hAnsi="Arial Narrow" w:cs="宋体"/>
                <w:sz w:val="24"/>
                <w:szCs w:val="24"/>
              </w:rPr>
            </w:pPr>
          </w:p>
        </w:tc>
        <w:tc>
          <w:tcPr>
            <w:tcW w:w="1284" w:type="dxa"/>
          </w:tcPr>
          <w:p>
            <w:pPr>
              <w:adjustRightInd w:val="0"/>
              <w:snapToGrid w:val="0"/>
              <w:rPr>
                <w:rFonts w:ascii="Arial Narrow" w:hAnsi="Arial Narrow" w:cs="宋体"/>
                <w:sz w:val="24"/>
                <w:szCs w:val="24"/>
              </w:rPr>
            </w:pPr>
          </w:p>
        </w:tc>
        <w:tc>
          <w:tcPr>
            <w:tcW w:w="1440" w:type="dxa"/>
          </w:tcPr>
          <w:p>
            <w:pPr>
              <w:adjustRightInd w:val="0"/>
              <w:snapToGrid w:val="0"/>
              <w:rPr>
                <w:rFonts w:ascii="Arial Narrow" w:hAnsi="Arial Narrow"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djustRightInd w:val="0"/>
              <w:snapToGrid w:val="0"/>
              <w:rPr>
                <w:rFonts w:ascii="Arial Narrow" w:hAnsi="Arial Narrow" w:cs="宋体"/>
                <w:sz w:val="24"/>
                <w:szCs w:val="24"/>
              </w:rPr>
            </w:pPr>
          </w:p>
        </w:tc>
        <w:tc>
          <w:tcPr>
            <w:tcW w:w="2115" w:type="dxa"/>
          </w:tcPr>
          <w:p>
            <w:pPr>
              <w:adjustRightInd w:val="0"/>
              <w:snapToGrid w:val="0"/>
              <w:rPr>
                <w:rFonts w:ascii="Arial Narrow" w:hAnsi="Arial Narrow" w:cs="宋体"/>
                <w:sz w:val="24"/>
                <w:szCs w:val="24"/>
              </w:rPr>
            </w:pPr>
          </w:p>
        </w:tc>
        <w:tc>
          <w:tcPr>
            <w:tcW w:w="993" w:type="dxa"/>
          </w:tcPr>
          <w:p>
            <w:pPr>
              <w:adjustRightInd w:val="0"/>
              <w:snapToGrid w:val="0"/>
              <w:rPr>
                <w:rFonts w:ascii="Arial Narrow" w:hAnsi="Arial Narrow" w:cs="宋体"/>
                <w:sz w:val="24"/>
                <w:szCs w:val="24"/>
              </w:rPr>
            </w:pPr>
          </w:p>
        </w:tc>
        <w:tc>
          <w:tcPr>
            <w:tcW w:w="1417" w:type="dxa"/>
          </w:tcPr>
          <w:p>
            <w:pPr>
              <w:adjustRightInd w:val="0"/>
              <w:snapToGrid w:val="0"/>
              <w:rPr>
                <w:rFonts w:ascii="Arial Narrow" w:hAnsi="Arial Narrow" w:cs="宋体"/>
                <w:sz w:val="24"/>
                <w:szCs w:val="24"/>
              </w:rPr>
            </w:pPr>
          </w:p>
        </w:tc>
        <w:tc>
          <w:tcPr>
            <w:tcW w:w="851" w:type="dxa"/>
          </w:tcPr>
          <w:p>
            <w:pPr>
              <w:adjustRightInd w:val="0"/>
              <w:snapToGrid w:val="0"/>
              <w:rPr>
                <w:rFonts w:ascii="Arial Narrow" w:hAnsi="Arial Narrow" w:cs="宋体"/>
                <w:sz w:val="24"/>
                <w:szCs w:val="24"/>
              </w:rPr>
            </w:pPr>
          </w:p>
        </w:tc>
        <w:tc>
          <w:tcPr>
            <w:tcW w:w="1284" w:type="dxa"/>
          </w:tcPr>
          <w:p>
            <w:pPr>
              <w:adjustRightInd w:val="0"/>
              <w:snapToGrid w:val="0"/>
              <w:rPr>
                <w:rFonts w:ascii="Arial Narrow" w:hAnsi="Arial Narrow" w:cs="宋体"/>
                <w:sz w:val="24"/>
                <w:szCs w:val="24"/>
              </w:rPr>
            </w:pPr>
          </w:p>
        </w:tc>
        <w:tc>
          <w:tcPr>
            <w:tcW w:w="1440" w:type="dxa"/>
          </w:tcPr>
          <w:p>
            <w:pPr>
              <w:adjustRightInd w:val="0"/>
              <w:snapToGrid w:val="0"/>
              <w:rPr>
                <w:rFonts w:ascii="Arial Narrow" w:hAnsi="Arial Narrow" w:cs="宋体"/>
                <w:sz w:val="24"/>
                <w:szCs w:val="24"/>
              </w:rPr>
            </w:pPr>
          </w:p>
        </w:tc>
      </w:tr>
    </w:tbl>
    <w:p>
      <w:pPr>
        <w:snapToGrid w:val="0"/>
        <w:spacing w:line="560" w:lineRule="exact"/>
        <w:ind w:firstLine="602" w:firstLineChars="200"/>
        <w:rPr>
          <w:rFonts w:ascii="Arial Narrow" w:hAnsi="Arial Narrow" w:eastAsia="仿宋_GB2312" w:cs="Arial"/>
          <w:b/>
          <w:sz w:val="30"/>
          <w:szCs w:val="30"/>
        </w:rPr>
      </w:pP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三、赛项目的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引领职业院校专业建设与课程改革；促进产教融合、校企合作、产业发展；展示职教改革成果及师生良好精神面貌等方面阐明赛项设计的目的和意义。</w:t>
      </w: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四、赛项设计原则</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（一）公开、公平、公正</w:t>
      </w:r>
      <w:r>
        <w:rPr>
          <w:rFonts w:hint="eastAsia" w:ascii="Arial Narrow" w:hAnsi="Arial Narrow" w:eastAsia="仿宋_GB2312" w:cs="Arial"/>
          <w:sz w:val="30"/>
          <w:szCs w:val="30"/>
        </w:rPr>
        <w:t>。</w:t>
      </w:r>
    </w:p>
    <w:p>
      <w:pPr>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（二）</w:t>
      </w:r>
      <w:r>
        <w:rPr>
          <w:rFonts w:hint="eastAsia" w:ascii="Arial Narrow" w:hAnsi="Arial Narrow" w:eastAsia="仿宋_GB2312" w:cs="Arial"/>
          <w:sz w:val="30"/>
          <w:szCs w:val="30"/>
        </w:rPr>
        <w:t>常规</w:t>
      </w:r>
      <w:r>
        <w:rPr>
          <w:rFonts w:ascii="Arial Narrow" w:hAnsi="Arial Narrow" w:eastAsia="仿宋_GB2312" w:cs="Arial"/>
          <w:sz w:val="30"/>
          <w:szCs w:val="30"/>
        </w:rPr>
        <w:t>赛项关联专业人才需求量大或职业院校开设专业点多</w:t>
      </w:r>
      <w:r>
        <w:rPr>
          <w:rFonts w:hint="eastAsia" w:ascii="Arial Narrow" w:hAnsi="Arial Narrow" w:eastAsia="仿宋_GB2312" w:cs="Arial"/>
          <w:sz w:val="30"/>
          <w:szCs w:val="30"/>
        </w:rPr>
        <w:t>，</w:t>
      </w:r>
      <w:r>
        <w:rPr>
          <w:rFonts w:ascii="Arial Narrow" w:hAnsi="Arial Narrow" w:eastAsia="仿宋_GB2312" w:cs="Arial"/>
          <w:sz w:val="30"/>
          <w:szCs w:val="30"/>
        </w:rPr>
        <w:t>服务国家重点战略</w:t>
      </w:r>
      <w:r>
        <w:rPr>
          <w:rFonts w:hint="eastAsia" w:ascii="Arial Narrow" w:hAnsi="Arial Narrow" w:eastAsia="仿宋_GB2312" w:cs="Arial"/>
          <w:sz w:val="30"/>
          <w:szCs w:val="30"/>
        </w:rPr>
        <w:t>。</w:t>
      </w:r>
    </w:p>
    <w:p>
      <w:pPr>
        <w:spacing w:line="560" w:lineRule="exact"/>
        <w:ind w:firstLine="600" w:firstLineChars="200"/>
        <w:rPr>
          <w:rFonts w:ascii="Arial Narrow" w:hAnsi="Arial Narrow" w:eastAsia="仿宋_GB2312" w:cs="Arial"/>
          <w:sz w:val="30"/>
          <w:szCs w:val="30"/>
        </w:rPr>
      </w:pPr>
      <w:r>
        <w:rPr>
          <w:rFonts w:hint="eastAsia" w:ascii="仿宋_GB2312" w:eastAsia="仿宋_GB2312"/>
          <w:sz w:val="30"/>
          <w:szCs w:val="30"/>
        </w:rPr>
        <w:t>行业特色赛项所涉专业，必须对国家基础性、战略性产业起重要支持作用，且行业特色突出、全国布点较少。</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（三）竞赛内容对应相关职业岗位或岗位群、体现专业核心能力与核心知识、涵盖丰富的专业知识与专业技能点</w:t>
      </w:r>
      <w:r>
        <w:rPr>
          <w:rFonts w:hint="eastAsia" w:ascii="Arial Narrow" w:hAnsi="Arial Narrow" w:eastAsia="仿宋_GB2312" w:cs="Arial"/>
          <w:sz w:val="30"/>
          <w:szCs w:val="30"/>
        </w:rPr>
        <w:t>。</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（四）竞赛平台成熟。</w:t>
      </w:r>
      <w:r>
        <w:rPr>
          <w:rFonts w:ascii="Arial Narrow" w:hAnsi="Arial Narrow" w:eastAsia="仿宋_GB2312"/>
          <w:sz w:val="30"/>
          <w:szCs w:val="30"/>
        </w:rPr>
        <w:t>根据行业特点，赛项选择相对先进、通用性强、社会保有量高的设备与软件</w:t>
      </w:r>
      <w:r>
        <w:rPr>
          <w:rFonts w:hint="eastAsia" w:ascii="Arial Narrow" w:hAnsi="Arial Narrow" w:eastAsia="仿宋_GB2312"/>
          <w:sz w:val="30"/>
          <w:szCs w:val="30"/>
        </w:rPr>
        <w:t>。</w:t>
      </w: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五、赛项方案的特色与创新点</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应在竞赛内容选择、竞赛过程安排、竞赛结果评判、竞赛资源转化等方面形成赛项的特色与创新点。</w:t>
      </w:r>
    </w:p>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六、竞赛内容简介（须附英文对照简介）</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概述竞赛内容，并侧重于核心技能的描述（不多于500字）。</w:t>
      </w:r>
    </w:p>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七、竞赛方式（含组队要求、是否邀请境外代表队参赛）</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竞赛方式应明确是团体赛还是个人赛。组队方式应参考《全国职业院校技能大赛参赛报名办法》的有关要求。</w:t>
      </w:r>
      <w:r>
        <w:rPr>
          <w:rFonts w:hint="eastAsia" w:ascii="Arial Narrow" w:hAnsi="Arial Narrow" w:eastAsia="仿宋_GB2312" w:cs="Arial"/>
          <w:b/>
          <w:bCs/>
          <w:sz w:val="30"/>
          <w:szCs w:val="30"/>
        </w:rPr>
        <w:t>不得出现参赛名额分配的事项。</w:t>
      </w:r>
    </w:p>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八、竞赛时间安排与流程</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应用表格或流程图</w:t>
      </w:r>
      <w:r>
        <w:rPr>
          <w:rFonts w:hint="eastAsia" w:ascii="Arial Narrow" w:hAnsi="Arial Narrow" w:eastAsia="仿宋_GB2312" w:cs="Arial"/>
          <w:sz w:val="30"/>
          <w:szCs w:val="30"/>
        </w:rPr>
        <w:t>，</w:t>
      </w:r>
      <w:r>
        <w:rPr>
          <w:rFonts w:ascii="Arial Narrow" w:hAnsi="Arial Narrow" w:eastAsia="仿宋_GB2312" w:cs="Arial"/>
          <w:sz w:val="30"/>
          <w:szCs w:val="30"/>
        </w:rPr>
        <w:t>简洁、明确地说明竞赛日程与流程安排。</w:t>
      </w: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九、竞赛试题</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申报赛项应提供样题或样卷。</w:t>
      </w: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十、评分标准制定原则、评分方法、评分细则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照《全国职业院校技能大赛成绩管理办法》的相关要求，根据申报赛项自身的特点，选定具有较强操作性的评分方法，编制评分细则。</w:t>
      </w: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十一、奖项设置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照执行《全国职业院校技能大赛</w:t>
      </w:r>
      <w:r>
        <w:rPr>
          <w:rFonts w:hint="eastAsia" w:ascii="Arial Narrow" w:hAnsi="Arial Narrow" w:eastAsia="仿宋_GB2312" w:cs="Arial"/>
          <w:sz w:val="30"/>
          <w:szCs w:val="30"/>
        </w:rPr>
        <w:t>奖惩办法</w:t>
      </w:r>
      <w:r>
        <w:rPr>
          <w:rFonts w:ascii="Arial Narrow" w:hAnsi="Arial Narrow" w:eastAsia="仿宋_GB2312" w:cs="Arial"/>
          <w:sz w:val="30"/>
          <w:szCs w:val="30"/>
        </w:rPr>
        <w:t>》的有关规定。</w:t>
      </w: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十二、技术规范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照《全国职业院校技能大赛赛项规程编制要求》，列出竞赛内容涉及技术规范的全部信息，包括相关的专业教育教学要求，行业、职业技术标准等。</w:t>
      </w: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十三、建议使用的比赛器材、技术平台和场地要求</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提供赛项所需的技术平台，包括参考硬件和软件信息、参考机器设备信息、参考工具器具信息等。</w:t>
      </w:r>
      <w:r>
        <w:rPr>
          <w:rFonts w:hint="eastAsia" w:ascii="Arial Narrow" w:hAnsi="Arial Narrow" w:eastAsia="仿宋_GB2312" w:cs="Arial"/>
          <w:b/>
          <w:bCs/>
          <w:sz w:val="30"/>
          <w:szCs w:val="30"/>
        </w:rPr>
        <w:t>不得出现企业名称。</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要对竞赛赛场环境、赛位设置、单位赛位大小、安全防范措施等，描述具体、明确。</w:t>
      </w: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十四、安全保障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照《全国职业院校技能大赛安全管理规定》的有关要求，依据申报赛项自身特点，明确所需的安全保障措施。</w:t>
      </w:r>
    </w:p>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十五、经费概算</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照《全国职业院校技能大赛经费管理</w:t>
      </w:r>
      <w:r>
        <w:rPr>
          <w:rFonts w:hint="eastAsia" w:ascii="Arial Narrow" w:hAnsi="Arial Narrow" w:eastAsia="仿宋_GB2312" w:cs="Arial"/>
          <w:sz w:val="30"/>
          <w:szCs w:val="30"/>
        </w:rPr>
        <w:t>暂行办法</w:t>
      </w:r>
      <w:r>
        <w:rPr>
          <w:rFonts w:ascii="Arial Narrow" w:hAnsi="Arial Narrow" w:eastAsia="仿宋_GB2312" w:cs="Arial"/>
          <w:sz w:val="30"/>
          <w:szCs w:val="30"/>
        </w:rPr>
        <w:t>》的有关要求，制定赛项经费概算。</w:t>
      </w:r>
    </w:p>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十六、比赛组织与管理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照《全国职业院校技能大赛组织机构与职能分工》《全国职业院校技能大赛赛项设备与设施管理办法》《全国职业院校技能大赛赛项监督与仲裁管理办法》等，明确主要组织单位、协办单位的任务分工</w:t>
      </w:r>
      <w:r>
        <w:rPr>
          <w:rFonts w:hint="eastAsia" w:ascii="Arial Narrow" w:hAnsi="Arial Narrow" w:eastAsia="仿宋_GB2312" w:cs="Arial"/>
          <w:sz w:val="30"/>
          <w:szCs w:val="30"/>
        </w:rPr>
        <w:t>和</w:t>
      </w:r>
      <w:r>
        <w:rPr>
          <w:rFonts w:ascii="Arial Narrow" w:hAnsi="Arial Narrow" w:eastAsia="仿宋_GB2312" w:cs="Arial"/>
          <w:sz w:val="30"/>
          <w:szCs w:val="30"/>
        </w:rPr>
        <w:t>各单位工作职责，制定操作性强的赛项竞赛组织与管理方案。</w:t>
      </w: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十七、教学资源转化建设方案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照《全国职业院校技能大赛赛项资源转化工作办法》的有关要求，制定赛项赛后教学资源转化方案。</w:t>
      </w:r>
    </w:p>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十八、筹备工作进度时间表</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依据赛项筹备工作，制定筹备工作时间进度表。</w:t>
      </w:r>
    </w:p>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十九、裁判人员建议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照《全国职业院校技能大赛专家和裁判工作管理办法》的有关要求，详细列出赛项所需现场裁判和评分裁判的具体要求。</w:t>
      </w:r>
    </w:p>
    <w:tbl>
      <w:tblPr>
        <w:tblStyle w:val="11"/>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25"/>
        <w:gridCol w:w="1665"/>
        <w:gridCol w:w="1485"/>
        <w:gridCol w:w="204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序号</w:t>
            </w:r>
          </w:p>
        </w:tc>
        <w:tc>
          <w:tcPr>
            <w:tcW w:w="1725"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专业技术方向</w:t>
            </w:r>
          </w:p>
        </w:tc>
        <w:tc>
          <w:tcPr>
            <w:tcW w:w="1665"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知识能力要求</w:t>
            </w:r>
          </w:p>
        </w:tc>
        <w:tc>
          <w:tcPr>
            <w:tcW w:w="1485" w:type="dxa"/>
            <w:tcBorders>
              <w:top w:val="single" w:color="auto" w:sz="8" w:space="0"/>
            </w:tcBorders>
            <w:vAlign w:val="center"/>
          </w:tcPr>
          <w:p>
            <w:pPr>
              <w:adjustRightInd w:val="0"/>
              <w:snapToGrid w:val="0"/>
              <w:jc w:val="center"/>
              <w:rPr>
                <w:rFonts w:hint="eastAsia" w:ascii="仿宋_GB2312" w:hAnsi="仿宋" w:eastAsia="仿宋_GB2312" w:cs="Arial"/>
                <w:b/>
                <w:color w:val="000000"/>
                <w:sz w:val="24"/>
                <w:szCs w:val="24"/>
                <w:lang w:val="en-US" w:eastAsia="zh-CN"/>
              </w:rPr>
            </w:pPr>
            <w:r>
              <w:rPr>
                <w:rFonts w:hint="eastAsia" w:ascii="仿宋_GB2312" w:hAnsi="仿宋" w:eastAsia="仿宋_GB2312" w:cs="Arial"/>
                <w:b/>
                <w:color w:val="000000"/>
                <w:sz w:val="24"/>
                <w:szCs w:val="24"/>
                <w:lang w:val="en-US" w:eastAsia="zh-CN"/>
              </w:rPr>
              <w:t>执裁、教学、工作经历</w:t>
            </w:r>
          </w:p>
        </w:tc>
        <w:tc>
          <w:tcPr>
            <w:tcW w:w="2048"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专业技术职称</w:t>
            </w:r>
          </w:p>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（职业资格等级）</w:t>
            </w:r>
          </w:p>
        </w:tc>
        <w:tc>
          <w:tcPr>
            <w:tcW w:w="779"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Arial Narrow" w:hAnsi="Arial Narrow" w:eastAsia="仿宋_GB2312"/>
                <w:sz w:val="24"/>
              </w:rPr>
            </w:pPr>
          </w:p>
        </w:tc>
        <w:tc>
          <w:tcPr>
            <w:tcW w:w="1725" w:type="dxa"/>
            <w:vAlign w:val="center"/>
          </w:tcPr>
          <w:p>
            <w:pPr>
              <w:adjustRightInd w:val="0"/>
              <w:snapToGrid w:val="0"/>
              <w:rPr>
                <w:rFonts w:ascii="Arial Narrow" w:hAnsi="Arial Narrow" w:eastAsia="仿宋_GB2312"/>
                <w:sz w:val="24"/>
              </w:rPr>
            </w:pPr>
          </w:p>
        </w:tc>
        <w:tc>
          <w:tcPr>
            <w:tcW w:w="1665" w:type="dxa"/>
          </w:tcPr>
          <w:p>
            <w:pPr>
              <w:adjustRightInd w:val="0"/>
              <w:snapToGrid w:val="0"/>
              <w:jc w:val="center"/>
              <w:rPr>
                <w:rFonts w:ascii="Arial Narrow" w:hAnsi="Arial Narrow" w:eastAsia="仿宋_GB2312"/>
                <w:sz w:val="24"/>
              </w:rPr>
            </w:pPr>
            <w:bookmarkStart w:id="0" w:name="_GoBack"/>
            <w:bookmarkEnd w:id="0"/>
          </w:p>
        </w:tc>
        <w:tc>
          <w:tcPr>
            <w:tcW w:w="1485" w:type="dxa"/>
            <w:vAlign w:val="center"/>
          </w:tcPr>
          <w:p>
            <w:pPr>
              <w:adjustRightInd w:val="0"/>
              <w:snapToGrid w:val="0"/>
              <w:jc w:val="center"/>
              <w:rPr>
                <w:rFonts w:ascii="Arial Narrow" w:hAnsi="Arial Narrow" w:eastAsia="仿宋_GB2312"/>
                <w:sz w:val="24"/>
              </w:rPr>
            </w:pPr>
          </w:p>
        </w:tc>
        <w:tc>
          <w:tcPr>
            <w:tcW w:w="2048" w:type="dxa"/>
          </w:tcPr>
          <w:p>
            <w:pPr>
              <w:adjustRightInd w:val="0"/>
              <w:snapToGrid w:val="0"/>
              <w:jc w:val="center"/>
              <w:rPr>
                <w:rFonts w:ascii="Arial Narrow" w:hAnsi="Arial Narrow" w:eastAsia="仿宋_GB2312"/>
                <w:sz w:val="24"/>
              </w:rPr>
            </w:pPr>
          </w:p>
        </w:tc>
        <w:tc>
          <w:tcPr>
            <w:tcW w:w="779" w:type="dxa"/>
          </w:tcPr>
          <w:p>
            <w:pPr>
              <w:adjustRightInd w:val="0"/>
              <w:snapToGrid w:val="0"/>
              <w:jc w:val="center"/>
              <w:rPr>
                <w:rFonts w:ascii="Arial Narrow" w:hAnsi="Arial Narrow"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Arial Narrow" w:hAnsi="Arial Narrow" w:eastAsia="仿宋_GB2312"/>
                <w:sz w:val="24"/>
              </w:rPr>
            </w:pPr>
          </w:p>
        </w:tc>
        <w:tc>
          <w:tcPr>
            <w:tcW w:w="1725" w:type="dxa"/>
            <w:vAlign w:val="center"/>
          </w:tcPr>
          <w:p>
            <w:pPr>
              <w:adjustRightInd w:val="0"/>
              <w:snapToGrid w:val="0"/>
              <w:rPr>
                <w:rFonts w:ascii="Arial Narrow" w:hAnsi="Arial Narrow" w:eastAsia="仿宋_GB2312"/>
                <w:sz w:val="24"/>
              </w:rPr>
            </w:pPr>
          </w:p>
        </w:tc>
        <w:tc>
          <w:tcPr>
            <w:tcW w:w="1665" w:type="dxa"/>
          </w:tcPr>
          <w:p>
            <w:pPr>
              <w:adjustRightInd w:val="0"/>
              <w:snapToGrid w:val="0"/>
              <w:jc w:val="center"/>
              <w:rPr>
                <w:rFonts w:ascii="Arial Narrow" w:hAnsi="Arial Narrow" w:eastAsia="仿宋_GB2312"/>
                <w:sz w:val="24"/>
              </w:rPr>
            </w:pPr>
          </w:p>
        </w:tc>
        <w:tc>
          <w:tcPr>
            <w:tcW w:w="1485" w:type="dxa"/>
            <w:vAlign w:val="center"/>
          </w:tcPr>
          <w:p>
            <w:pPr>
              <w:adjustRightInd w:val="0"/>
              <w:snapToGrid w:val="0"/>
              <w:jc w:val="center"/>
              <w:rPr>
                <w:rFonts w:ascii="Arial Narrow" w:hAnsi="Arial Narrow" w:eastAsia="仿宋_GB2312"/>
                <w:sz w:val="24"/>
              </w:rPr>
            </w:pPr>
          </w:p>
        </w:tc>
        <w:tc>
          <w:tcPr>
            <w:tcW w:w="2048" w:type="dxa"/>
          </w:tcPr>
          <w:p>
            <w:pPr>
              <w:adjustRightInd w:val="0"/>
              <w:snapToGrid w:val="0"/>
              <w:jc w:val="center"/>
              <w:rPr>
                <w:rFonts w:ascii="Arial Narrow" w:hAnsi="Arial Narrow" w:eastAsia="仿宋_GB2312"/>
                <w:sz w:val="24"/>
              </w:rPr>
            </w:pPr>
          </w:p>
        </w:tc>
        <w:tc>
          <w:tcPr>
            <w:tcW w:w="779" w:type="dxa"/>
          </w:tcPr>
          <w:p>
            <w:pPr>
              <w:adjustRightInd w:val="0"/>
              <w:snapToGrid w:val="0"/>
              <w:jc w:val="center"/>
              <w:rPr>
                <w:rFonts w:ascii="Arial Narrow" w:hAnsi="Arial Narrow"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Arial Narrow" w:hAnsi="Arial Narrow" w:eastAsia="仿宋_GB2312"/>
                <w:sz w:val="24"/>
              </w:rPr>
            </w:pPr>
          </w:p>
        </w:tc>
        <w:tc>
          <w:tcPr>
            <w:tcW w:w="1725" w:type="dxa"/>
            <w:vAlign w:val="center"/>
          </w:tcPr>
          <w:p>
            <w:pPr>
              <w:adjustRightInd w:val="0"/>
              <w:snapToGrid w:val="0"/>
              <w:rPr>
                <w:rFonts w:ascii="Arial Narrow" w:hAnsi="Arial Narrow" w:eastAsia="仿宋_GB2312"/>
                <w:sz w:val="24"/>
              </w:rPr>
            </w:pPr>
          </w:p>
        </w:tc>
        <w:tc>
          <w:tcPr>
            <w:tcW w:w="1665" w:type="dxa"/>
          </w:tcPr>
          <w:p>
            <w:pPr>
              <w:adjustRightInd w:val="0"/>
              <w:snapToGrid w:val="0"/>
              <w:jc w:val="center"/>
              <w:rPr>
                <w:rFonts w:ascii="Arial Narrow" w:hAnsi="Arial Narrow" w:eastAsia="仿宋_GB2312"/>
                <w:sz w:val="24"/>
              </w:rPr>
            </w:pPr>
          </w:p>
        </w:tc>
        <w:tc>
          <w:tcPr>
            <w:tcW w:w="1485" w:type="dxa"/>
            <w:vAlign w:val="center"/>
          </w:tcPr>
          <w:p>
            <w:pPr>
              <w:adjustRightInd w:val="0"/>
              <w:snapToGrid w:val="0"/>
              <w:jc w:val="center"/>
              <w:rPr>
                <w:rFonts w:ascii="Arial Narrow" w:hAnsi="Arial Narrow" w:eastAsia="仿宋_GB2312"/>
                <w:sz w:val="24"/>
              </w:rPr>
            </w:pPr>
          </w:p>
        </w:tc>
        <w:tc>
          <w:tcPr>
            <w:tcW w:w="2048" w:type="dxa"/>
          </w:tcPr>
          <w:p>
            <w:pPr>
              <w:adjustRightInd w:val="0"/>
              <w:snapToGrid w:val="0"/>
              <w:jc w:val="center"/>
              <w:rPr>
                <w:rFonts w:ascii="Arial Narrow" w:hAnsi="Arial Narrow" w:eastAsia="仿宋_GB2312"/>
                <w:sz w:val="24"/>
              </w:rPr>
            </w:pPr>
          </w:p>
        </w:tc>
        <w:tc>
          <w:tcPr>
            <w:tcW w:w="779" w:type="dxa"/>
          </w:tcPr>
          <w:p>
            <w:pPr>
              <w:adjustRightInd w:val="0"/>
              <w:snapToGrid w:val="0"/>
              <w:jc w:val="center"/>
              <w:rPr>
                <w:rFonts w:ascii="Arial Narrow" w:hAnsi="Arial Narrow"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bottom w:val="single" w:color="auto" w:sz="8" w:space="0"/>
            </w:tcBorders>
            <w:vAlign w:val="center"/>
          </w:tcPr>
          <w:p>
            <w:pPr>
              <w:adjustRightInd w:val="0"/>
              <w:snapToGrid w:val="0"/>
              <w:jc w:val="center"/>
              <w:rPr>
                <w:rFonts w:ascii="Arial Narrow" w:hAnsi="Arial Narrow" w:eastAsia="仿宋_GB2312"/>
                <w:sz w:val="24"/>
              </w:rPr>
            </w:pPr>
            <w:r>
              <w:rPr>
                <w:rFonts w:ascii="仿宋_GB2312" w:hAnsi="仿宋" w:eastAsia="仿宋_GB2312" w:cs="Arial"/>
                <w:b/>
                <w:color w:val="000000"/>
                <w:sz w:val="24"/>
                <w:szCs w:val="24"/>
              </w:rPr>
              <w:t>裁判总人数</w:t>
            </w:r>
          </w:p>
        </w:tc>
        <w:tc>
          <w:tcPr>
            <w:tcW w:w="7702" w:type="dxa"/>
            <w:gridSpan w:val="5"/>
            <w:tcBorders>
              <w:bottom w:val="single" w:color="auto" w:sz="8" w:space="0"/>
            </w:tcBorders>
          </w:tcPr>
          <w:p>
            <w:pPr>
              <w:adjustRightInd w:val="0"/>
              <w:snapToGrid w:val="0"/>
              <w:jc w:val="center"/>
              <w:rPr>
                <w:rFonts w:ascii="Arial Narrow" w:hAnsi="Arial Narrow" w:eastAsia="仿宋_GB2312"/>
                <w:sz w:val="24"/>
              </w:rPr>
            </w:pPr>
          </w:p>
        </w:tc>
      </w:tr>
    </w:tbl>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二十、其他</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申报赛项未尽内容的描述或说明，也可附页补充。</w:t>
      </w:r>
    </w:p>
    <w:p>
      <w:pPr>
        <w:spacing w:line="560" w:lineRule="exact"/>
        <w:ind w:firstLine="600" w:firstLineChars="200"/>
      </w:pPr>
      <w:r>
        <w:rPr>
          <w:rFonts w:ascii="Arial Narrow" w:hAnsi="Arial Narrow" w:eastAsia="仿宋_GB2312" w:cs="Arial"/>
          <w:sz w:val="30"/>
          <w:szCs w:val="30"/>
        </w:rPr>
        <w:t>申报单位应明确专职联络人员及其手机号码、邮箱等联系方式。专职联络人员应具有强烈的工作责任感和良好的保密意识。</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Narrow">
    <w:altName w:val="Arial"/>
    <w:panose1 w:val="020B0606020202030204"/>
    <w:charset w:val="00"/>
    <w:family w:val="swiss"/>
    <w:pitch w:val="default"/>
    <w:sig w:usb0="00000000" w:usb1="00000000"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rPr>
          <w:rFonts w:ascii="仿宋_GB2312" w:eastAsia="仿宋_GB2312"/>
          <w:sz w:val="22"/>
          <w:szCs w:val="22"/>
        </w:rPr>
      </w:pPr>
      <w:r>
        <w:rPr>
          <w:rFonts w:ascii="仿宋_GB2312" w:eastAsia="仿宋_GB2312"/>
          <w:sz w:val="22"/>
          <w:szCs w:val="22"/>
        </w:rPr>
        <w:t>1</w:t>
      </w:r>
      <w:r>
        <w:rPr>
          <w:rFonts w:hint="eastAsia" w:ascii="仿宋_GB2312" w:eastAsia="仿宋_GB2312"/>
          <w:sz w:val="22"/>
          <w:szCs w:val="22"/>
        </w:rPr>
        <w:t xml:space="preserve"> 页面布局：默认页边距</w:t>
      </w:r>
    </w:p>
    <w:p>
      <w:pPr>
        <w:pStyle w:val="7"/>
        <w:ind w:firstLine="220" w:firstLineChars="100"/>
        <w:rPr>
          <w:rFonts w:ascii="仿宋_GB2312" w:eastAsia="仿宋_GB2312"/>
          <w:sz w:val="22"/>
          <w:szCs w:val="22"/>
        </w:rPr>
      </w:pPr>
      <w:r>
        <w:rPr>
          <w:rFonts w:hint="eastAsia" w:ascii="仿宋_GB2312" w:eastAsia="仿宋_GB2312"/>
          <w:sz w:val="22"/>
          <w:szCs w:val="22"/>
        </w:rPr>
        <w:t>标题：小</w:t>
      </w:r>
      <w:r>
        <w:rPr>
          <w:rFonts w:ascii="仿宋_GB2312" w:eastAsia="仿宋_GB2312"/>
          <w:sz w:val="22"/>
          <w:szCs w:val="22"/>
        </w:rPr>
        <w:t>2</w:t>
      </w:r>
      <w:r>
        <w:rPr>
          <w:rFonts w:hint="eastAsia" w:ascii="仿宋_GB2312" w:eastAsia="仿宋_GB2312"/>
          <w:sz w:val="22"/>
          <w:szCs w:val="22"/>
        </w:rPr>
        <w:t>号，黑体加粗</w:t>
      </w:r>
    </w:p>
    <w:p>
      <w:pPr>
        <w:pStyle w:val="7"/>
        <w:ind w:left="210" w:leftChars="100"/>
        <w:rPr>
          <w:rFonts w:ascii="仿宋_GB2312" w:eastAsia="仿宋_GB2312"/>
          <w:sz w:val="22"/>
          <w:szCs w:val="22"/>
        </w:rPr>
      </w:pPr>
      <w:r>
        <w:rPr>
          <w:rFonts w:hint="eastAsia" w:ascii="仿宋_GB2312" w:eastAsia="仿宋_GB2312"/>
          <w:sz w:val="22"/>
          <w:szCs w:val="22"/>
        </w:rPr>
        <w:t>正文：小</w:t>
      </w:r>
      <w:r>
        <w:rPr>
          <w:rFonts w:ascii="仿宋_GB2312" w:eastAsia="仿宋_GB2312"/>
          <w:sz w:val="22"/>
          <w:szCs w:val="22"/>
        </w:rPr>
        <w:t>3</w:t>
      </w:r>
      <w:r>
        <w:rPr>
          <w:rFonts w:hint="eastAsia" w:ascii="仿宋_GB2312" w:eastAsia="仿宋_GB2312"/>
          <w:sz w:val="22"/>
          <w:szCs w:val="22"/>
        </w:rPr>
        <w:t>号，仿宋</w:t>
      </w:r>
      <w:r>
        <w:rPr>
          <w:rFonts w:ascii="仿宋_GB2312" w:eastAsia="仿宋_GB2312"/>
          <w:sz w:val="22"/>
          <w:szCs w:val="22"/>
        </w:rPr>
        <w:t>_GB2312</w:t>
      </w:r>
      <w:r>
        <w:rPr>
          <w:rFonts w:hint="eastAsia" w:ascii="仿宋_GB2312" w:eastAsia="仿宋_GB2312"/>
          <w:sz w:val="22"/>
          <w:szCs w:val="22"/>
        </w:rPr>
        <w:t>，</w:t>
      </w:r>
      <w:r>
        <w:rPr>
          <w:rFonts w:ascii="仿宋_GB2312" w:eastAsia="仿宋_GB2312"/>
          <w:sz w:val="22"/>
          <w:szCs w:val="22"/>
        </w:rPr>
        <w:t>28</w:t>
      </w:r>
      <w:r>
        <w:rPr>
          <w:rFonts w:hint="eastAsia" w:ascii="仿宋_GB2312" w:eastAsia="仿宋_GB2312"/>
          <w:sz w:val="22"/>
          <w:szCs w:val="22"/>
        </w:rPr>
        <w:t>磅行间距。结构次序数依次用“一、”“（一）”“</w:t>
      </w:r>
      <w:r>
        <w:rPr>
          <w:rFonts w:ascii="仿宋_GB2312" w:eastAsia="仿宋_GB2312"/>
          <w:sz w:val="22"/>
          <w:szCs w:val="22"/>
        </w:rPr>
        <w:t>1.</w:t>
      </w:r>
      <w:r>
        <w:rPr>
          <w:rFonts w:hint="eastAsia" w:ascii="仿宋_GB2312" w:eastAsia="仿宋_GB2312"/>
          <w:sz w:val="22"/>
          <w:szCs w:val="22"/>
        </w:rPr>
        <w:t>”“（</w:t>
      </w:r>
      <w:r>
        <w:rPr>
          <w:rFonts w:ascii="仿宋_GB2312" w:eastAsia="仿宋_GB2312"/>
          <w:sz w:val="22"/>
          <w:szCs w:val="22"/>
        </w:rPr>
        <w:t>1</w:t>
      </w:r>
      <w:r>
        <w:rPr>
          <w:rFonts w:hint="eastAsia" w:ascii="仿宋_GB2312" w:eastAsia="仿宋_GB2312"/>
          <w:sz w:val="22"/>
          <w:szCs w:val="22"/>
        </w:rPr>
        <w:t>）”“①”。</w:t>
      </w:r>
    </w:p>
    <w:p>
      <w:pPr>
        <w:pStyle w:val="7"/>
        <w:ind w:firstLine="220" w:firstLineChars="100"/>
        <w:rPr>
          <w:rFonts w:ascii="仿宋_GB2312" w:eastAsia="仿宋_GB2312"/>
          <w:sz w:val="22"/>
          <w:szCs w:val="22"/>
        </w:rPr>
      </w:pPr>
      <w:r>
        <w:rPr>
          <w:rFonts w:hint="eastAsia" w:ascii="仿宋_GB2312" w:eastAsia="仿宋_GB2312"/>
          <w:sz w:val="22"/>
          <w:szCs w:val="22"/>
        </w:rPr>
        <w:t>文中表格：小</w:t>
      </w:r>
      <w:r>
        <w:rPr>
          <w:rFonts w:ascii="仿宋_GB2312" w:eastAsia="仿宋_GB2312"/>
          <w:sz w:val="22"/>
          <w:szCs w:val="22"/>
        </w:rPr>
        <w:t>4</w:t>
      </w:r>
      <w:r>
        <w:rPr>
          <w:rFonts w:hint="eastAsia" w:ascii="仿宋_GB2312" w:eastAsia="仿宋_GB2312"/>
          <w:sz w:val="22"/>
          <w:szCs w:val="22"/>
        </w:rPr>
        <w:t>号宋体，单倍行间距。表头字体小</w:t>
      </w:r>
      <w:r>
        <w:rPr>
          <w:rFonts w:ascii="仿宋_GB2312" w:eastAsia="仿宋_GB2312"/>
          <w:sz w:val="22"/>
          <w:szCs w:val="22"/>
        </w:rPr>
        <w:t>4</w:t>
      </w:r>
      <w:r>
        <w:rPr>
          <w:rFonts w:hint="eastAsia" w:ascii="仿宋_GB2312" w:eastAsia="仿宋_GB2312"/>
          <w:sz w:val="22"/>
          <w:szCs w:val="22"/>
        </w:rPr>
        <w:t>号宋体加粗。</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4E0F22"/>
    <w:rsid w:val="00B650C3"/>
    <w:rsid w:val="00C23559"/>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uiPriority w:val="0"/>
    <w:rPr>
      <w:b/>
      <w:bCs/>
    </w:rPr>
  </w:style>
  <w:style w:type="paragraph" w:styleId="3">
    <w:name w:val="annotation text"/>
    <w:basedOn w:val="1"/>
    <w:link w:val="12"/>
    <w:uiPriority w:val="0"/>
    <w:pPr>
      <w:jc w:val="left"/>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qFormat/>
    <w:uiPriority w:val="0"/>
    <w:pPr>
      <w:snapToGrid w:val="0"/>
      <w:jc w:val="left"/>
    </w:pPr>
    <w:rPr>
      <w:kern w:val="0"/>
      <w:sz w:val="18"/>
      <w:szCs w:val="18"/>
    </w:rPr>
  </w:style>
  <w:style w:type="character" w:styleId="9">
    <w:name w:val="annotation reference"/>
    <w:basedOn w:val="8"/>
    <w:uiPriority w:val="0"/>
    <w:rPr>
      <w:sz w:val="21"/>
      <w:szCs w:val="21"/>
    </w:rPr>
  </w:style>
  <w:style w:type="character" w:styleId="10">
    <w:name w:val="footnote reference"/>
    <w:uiPriority w:val="0"/>
    <w:rPr>
      <w:rFonts w:cs="Times New Roman"/>
      <w:vertAlign w:val="superscript"/>
    </w:rPr>
  </w:style>
  <w:style w:type="character" w:customStyle="1" w:styleId="12">
    <w:name w:val="批注文字 Char"/>
    <w:basedOn w:val="8"/>
    <w:link w:val="3"/>
    <w:uiPriority w:val="0"/>
    <w:rPr>
      <w:kern w:val="2"/>
      <w:sz w:val="21"/>
      <w:szCs w:val="22"/>
    </w:rPr>
  </w:style>
  <w:style w:type="character" w:customStyle="1" w:styleId="13">
    <w:name w:val="批注主题 Char"/>
    <w:basedOn w:val="12"/>
    <w:link w:val="2"/>
    <w:qFormat/>
    <w:uiPriority w:val="0"/>
    <w:rPr>
      <w:b/>
      <w:bCs/>
    </w:rPr>
  </w:style>
  <w:style w:type="character" w:customStyle="1" w:styleId="14">
    <w:name w:val="批注框文本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284</Words>
  <Characters>1619</Characters>
  <Lines>13</Lines>
  <Paragraphs>3</Paragraphs>
  <TotalTime>0</TotalTime>
  <ScaleCrop>false</ScaleCrop>
  <LinksUpToDate>false</LinksUpToDate>
  <CharactersWithSpaces>1900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cp:lastModifiedBy>
  <dcterms:modified xsi:type="dcterms:W3CDTF">2017-08-08T03:24:43Z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